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44"/>
          <w:szCs w:val="44"/>
        </w:rPr>
      </w:pPr>
      <w:r>
        <w:rPr>
          <w:rFonts w:hint="eastAsia"/>
          <w:b/>
          <w:sz w:val="44"/>
          <w:szCs w:val="44"/>
        </w:rPr>
        <w:t>方城县农村垃圾中转站设备及运输车辆购置项目</w:t>
      </w: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36"/>
          <w:szCs w:val="36"/>
        </w:rPr>
      </w:pPr>
      <w:r>
        <w:rPr>
          <w:rFonts w:ascii="Arial" w:hAnsi="Arial" w:cs="Arial"/>
          <w:b/>
          <w:kern w:val="36"/>
          <w:sz w:val="36"/>
          <w:szCs w:val="36"/>
        </w:rPr>
        <w:t>(</w:t>
      </w:r>
      <w:r>
        <w:rPr>
          <w:rFonts w:hint="eastAsia" w:ascii="Arial" w:hAnsi="Arial" w:cs="Arial"/>
          <w:b/>
          <w:kern w:val="36"/>
          <w:sz w:val="36"/>
          <w:szCs w:val="36"/>
        </w:rPr>
        <w:t>第</w:t>
      </w:r>
      <w:r>
        <w:rPr>
          <w:rFonts w:hint="eastAsia" w:ascii="Arial" w:hAnsi="Arial" w:cs="Arial"/>
          <w:b/>
          <w:kern w:val="36"/>
          <w:sz w:val="36"/>
          <w:szCs w:val="36"/>
          <w:lang w:val="en-US" w:eastAsia="zh-CN"/>
        </w:rPr>
        <w:t>2</w:t>
      </w:r>
      <w:r>
        <w:rPr>
          <w:rFonts w:hint="eastAsia" w:ascii="Arial" w:hAnsi="Arial" w:cs="Arial"/>
          <w:b/>
          <w:kern w:val="36"/>
          <w:sz w:val="36"/>
          <w:szCs w:val="36"/>
        </w:rPr>
        <w:t>标段</w:t>
      </w:r>
      <w:r>
        <w:rPr>
          <w:rFonts w:ascii="Arial" w:hAnsi="Arial" w:cs="Arial"/>
          <w:b/>
          <w:kern w:val="36"/>
          <w:sz w:val="36"/>
          <w:szCs w:val="36"/>
        </w:rPr>
        <w:t>)</w:t>
      </w:r>
    </w:p>
    <w:p>
      <w:pPr>
        <w:spacing w:line="480" w:lineRule="auto"/>
        <w:jc w:val="center"/>
        <w:rPr>
          <w:rFonts w:ascii="Arial" w:hAnsi="Arial" w:cs="Arial"/>
          <w:b/>
          <w:kern w:val="36"/>
          <w:sz w:val="44"/>
          <w:szCs w:val="44"/>
        </w:rPr>
      </w:pPr>
    </w:p>
    <w:p>
      <w:pPr>
        <w:widowControl/>
        <w:spacing w:line="360" w:lineRule="auto"/>
        <w:ind w:left="0" w:leftChars="0" w:firstLine="0" w:firstLineChars="0"/>
        <w:jc w:val="center"/>
        <w:rPr>
          <w:rFonts w:hint="eastAsia" w:ascii="楷体_GB2312" w:eastAsia="宋体"/>
          <w:color w:val="FF0000"/>
          <w:kern w:val="0"/>
          <w:sz w:val="84"/>
          <w:szCs w:val="84"/>
          <w:lang w:eastAsia="zh-CN"/>
        </w:rPr>
      </w:pPr>
      <w:r>
        <w:rPr>
          <w:rFonts w:hint="eastAsia" w:ascii="宋体" w:hAnsi="宋体" w:cs="宋体"/>
          <w:b/>
          <w:bCs/>
          <w:kern w:val="0"/>
          <w:sz w:val="84"/>
          <w:szCs w:val="84"/>
          <w:lang w:eastAsia="zh-CN"/>
        </w:rPr>
        <w:t>技术参数和要求</w:t>
      </w:r>
    </w:p>
    <w:p>
      <w:pPr>
        <w:jc w:val="center"/>
        <w:rPr>
          <w:rFonts w:ascii="宋体" w:hAnsi="宋体"/>
          <w:b/>
          <w:kern w:val="0"/>
          <w:sz w:val="30"/>
          <w:szCs w:val="30"/>
        </w:rPr>
      </w:pPr>
    </w:p>
    <w:p>
      <w:pPr>
        <w:autoSpaceDE w:val="0"/>
        <w:autoSpaceDN w:val="0"/>
        <w:adjustRightInd w:val="0"/>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pStyle w:val="9"/>
        <w:spacing w:line="900" w:lineRule="exact"/>
        <w:jc w:val="both"/>
        <w:rPr>
          <w:rFonts w:hint="eastAsia" w:hAnsi="宋体" w:cs="黑体"/>
          <w:b/>
          <w:color w:val="auto"/>
          <w:sz w:val="30"/>
          <w:szCs w:val="32"/>
        </w:rPr>
      </w:pPr>
      <w:r>
        <w:rPr>
          <w:rFonts w:hint="eastAsia" w:hAnsi="宋体" w:cs="黑体"/>
          <w:b/>
          <w:color w:val="auto"/>
          <w:sz w:val="30"/>
          <w:szCs w:val="32"/>
        </w:rPr>
        <w:t xml:space="preserve">       </w:t>
      </w:r>
    </w:p>
    <w:p>
      <w:pPr>
        <w:pStyle w:val="9"/>
        <w:spacing w:line="900" w:lineRule="exact"/>
        <w:jc w:val="both"/>
        <w:rPr>
          <w:rFonts w:hint="eastAsia" w:hAnsi="宋体" w:cs="黑体"/>
          <w:b/>
          <w:color w:val="auto"/>
          <w:sz w:val="30"/>
          <w:szCs w:val="32"/>
        </w:rPr>
      </w:pP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 xml:space="preserve"> 采 购 人：</w:t>
      </w:r>
      <w:r>
        <w:rPr>
          <w:rFonts w:hint="eastAsia" w:hAnsi="宋体"/>
          <w:b/>
          <w:bCs/>
          <w:sz w:val="32"/>
          <w:szCs w:val="32"/>
        </w:rPr>
        <w:t>方城县环境卫生管理局</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代理机构：正大鹏安建设项目管理有限公司</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日    期：二零一八年八月</w:t>
      </w:r>
    </w:p>
    <w:p>
      <w:pPr>
        <w:pStyle w:val="2"/>
        <w:jc w:val="cente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jc w:val="center"/>
        <w:rPr>
          <w:rFonts w:hint="default"/>
        </w:rPr>
      </w:pPr>
      <w:r>
        <w:t>规格和要求</w:t>
      </w:r>
    </w:p>
    <w:p>
      <w:pPr>
        <w:spacing w:line="440" w:lineRule="exact"/>
        <w:jc w:val="left"/>
        <w:rPr>
          <w:rFonts w:hint="eastAsia" w:ascii="宋体" w:hAnsi="宋体" w:cs="宋体"/>
          <w:b/>
          <w:bCs/>
          <w:sz w:val="24"/>
          <w:szCs w:val="24"/>
        </w:rPr>
      </w:pPr>
    </w:p>
    <w:p>
      <w:pPr>
        <w:spacing w:line="440" w:lineRule="exact"/>
        <w:jc w:val="left"/>
        <w:rPr>
          <w:rFonts w:ascii="宋体" w:hAnsi="宋体" w:cs="宋体"/>
          <w:b/>
          <w:bCs/>
          <w:sz w:val="24"/>
          <w:szCs w:val="24"/>
        </w:rPr>
      </w:pPr>
      <w:r>
        <w:rPr>
          <w:rFonts w:hint="eastAsia" w:ascii="宋体" w:hAnsi="宋体" w:cs="宋体"/>
          <w:b/>
          <w:bCs/>
          <w:sz w:val="24"/>
          <w:szCs w:val="24"/>
        </w:rPr>
        <w:t>一、说明</w:t>
      </w:r>
    </w:p>
    <w:p>
      <w:pPr>
        <w:spacing w:line="440" w:lineRule="exact"/>
        <w:jc w:val="left"/>
        <w:rPr>
          <w:rFonts w:ascii="宋体" w:hAnsi="宋体" w:cs="宋体"/>
          <w:sz w:val="24"/>
          <w:szCs w:val="24"/>
        </w:rPr>
      </w:pPr>
      <w:r>
        <w:rPr>
          <w:rFonts w:hint="eastAsia" w:ascii="宋体" w:hAnsi="宋体" w:cs="宋体"/>
          <w:sz w:val="24"/>
          <w:szCs w:val="24"/>
        </w:rPr>
        <w:t>1.本章所述技术规格及要求是采购人提供的最低限度的技术要求，并未对一切技术细节做出规定，也未充分引述有关标准和规范的条文，供应商应保证提供符合本技术规格及要求和有关标准的优质产品。</w:t>
      </w:r>
    </w:p>
    <w:p>
      <w:pPr>
        <w:spacing w:line="440" w:lineRule="exact"/>
        <w:jc w:val="left"/>
        <w:rPr>
          <w:rFonts w:ascii="宋体" w:hAnsi="宋体" w:cs="宋体"/>
          <w:sz w:val="24"/>
          <w:szCs w:val="24"/>
        </w:rPr>
      </w:pPr>
      <w:r>
        <w:rPr>
          <w:rFonts w:hint="eastAsia" w:ascii="宋体" w:hAnsi="宋体" w:cs="宋体"/>
          <w:sz w:val="24"/>
          <w:szCs w:val="24"/>
        </w:rPr>
        <w:t>2.本技术规格及要求所使用的标准和规范如与供应商所执行的标准发生矛盾时，按较高标准执行。</w:t>
      </w:r>
    </w:p>
    <w:p>
      <w:pPr>
        <w:spacing w:line="440" w:lineRule="exact"/>
        <w:jc w:val="left"/>
        <w:rPr>
          <w:rFonts w:ascii="宋体" w:hAnsi="宋体" w:cs="宋体"/>
          <w:sz w:val="24"/>
          <w:szCs w:val="24"/>
        </w:rPr>
      </w:pPr>
      <w:r>
        <w:rPr>
          <w:rFonts w:hint="eastAsia" w:ascii="宋体" w:hAnsi="宋体" w:cs="宋体"/>
          <w:sz w:val="24"/>
          <w:szCs w:val="24"/>
        </w:rPr>
        <w:t>3.采购人保留在签订合同前，对本技术规格及要求补充和修改的权利，供应商应承诺予以配合，如提出修改，具体事项由中标人与采购人另行商定。</w:t>
      </w:r>
    </w:p>
    <w:p>
      <w:pPr>
        <w:spacing w:line="440" w:lineRule="exact"/>
        <w:jc w:val="left"/>
        <w:rPr>
          <w:rFonts w:ascii="宋体" w:hAnsi="宋体" w:cs="宋体"/>
          <w:sz w:val="24"/>
          <w:szCs w:val="24"/>
        </w:rPr>
      </w:pPr>
      <w:r>
        <w:rPr>
          <w:rFonts w:hint="eastAsia" w:ascii="宋体" w:hAnsi="宋体" w:cs="宋体"/>
          <w:sz w:val="24"/>
          <w:szCs w:val="24"/>
        </w:rPr>
        <w:t>4.供应商所提供的货物，如若发生侵犯知识产权的行为时，其侵权责任与采购人无关，应由供应商承担相应的责任，并不得损害采购人的利益。</w:t>
      </w:r>
    </w:p>
    <w:p>
      <w:pPr>
        <w:spacing w:line="440" w:lineRule="exact"/>
        <w:jc w:val="left"/>
        <w:rPr>
          <w:rFonts w:ascii="宋体" w:hAnsi="宋体" w:cs="宋体"/>
          <w:b/>
          <w:bCs/>
          <w:sz w:val="24"/>
          <w:szCs w:val="24"/>
        </w:rPr>
      </w:pPr>
      <w:r>
        <w:rPr>
          <w:rFonts w:hint="eastAsia" w:ascii="宋体" w:hAnsi="宋体" w:cs="宋体"/>
          <w:b/>
          <w:bCs/>
          <w:sz w:val="24"/>
          <w:szCs w:val="24"/>
        </w:rPr>
        <w:t>二、所遵循的标准和质量保证</w:t>
      </w:r>
    </w:p>
    <w:p>
      <w:pPr>
        <w:spacing w:line="440" w:lineRule="exact"/>
        <w:jc w:val="left"/>
        <w:rPr>
          <w:rFonts w:ascii="宋体" w:hAnsi="宋体" w:cs="宋体"/>
          <w:sz w:val="24"/>
          <w:szCs w:val="24"/>
        </w:rPr>
      </w:pPr>
      <w:r>
        <w:rPr>
          <w:rFonts w:hint="eastAsia" w:ascii="宋体" w:hAnsi="宋体" w:cs="宋体"/>
          <w:sz w:val="24"/>
          <w:szCs w:val="24"/>
        </w:rPr>
        <w:t>1.供应商提供的所有货物，其制造商应有完善的质量检测手段和质量保证体系，产品符合国家标准和行业标准。</w:t>
      </w:r>
    </w:p>
    <w:p>
      <w:pPr>
        <w:spacing w:line="440" w:lineRule="exact"/>
        <w:jc w:val="left"/>
        <w:rPr>
          <w:rFonts w:ascii="宋体" w:hAnsi="宋体" w:cs="宋体"/>
          <w:sz w:val="24"/>
          <w:szCs w:val="24"/>
        </w:rPr>
      </w:pPr>
      <w:r>
        <w:rPr>
          <w:rFonts w:hint="eastAsia" w:ascii="宋体" w:hAnsi="宋体" w:cs="宋体"/>
          <w:sz w:val="24"/>
          <w:szCs w:val="24"/>
        </w:rPr>
        <w:t>2.供应商提供的所有技术文件中的技术指标均应使用相应的国际先进标准、中国国家标准、各行业的相应标准、国际标准化组织标准。</w:t>
      </w:r>
    </w:p>
    <w:p>
      <w:pPr>
        <w:spacing w:line="440" w:lineRule="exact"/>
        <w:jc w:val="left"/>
        <w:rPr>
          <w:rFonts w:ascii="宋体" w:hAnsi="宋体" w:cs="宋体"/>
          <w:sz w:val="24"/>
          <w:szCs w:val="24"/>
        </w:rPr>
      </w:pPr>
      <w:r>
        <w:rPr>
          <w:rFonts w:hint="eastAsia" w:ascii="宋体" w:hAnsi="宋体" w:cs="宋体"/>
          <w:sz w:val="24"/>
          <w:szCs w:val="24"/>
        </w:rPr>
        <w:t>3.供应商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440" w:lineRule="exact"/>
        <w:jc w:val="left"/>
        <w:rPr>
          <w:rFonts w:ascii="宋体" w:hAnsi="宋体" w:cs="宋体"/>
          <w:sz w:val="24"/>
          <w:szCs w:val="24"/>
        </w:rPr>
      </w:pPr>
      <w:r>
        <w:rPr>
          <w:rFonts w:hint="eastAsia" w:ascii="宋体" w:hAnsi="宋体" w:cs="宋体"/>
          <w:sz w:val="24"/>
          <w:szCs w:val="24"/>
        </w:rPr>
        <w:t>4.供应商提供货物所使用的度量衡单位除技术规格中另有规定外，应统一用法定计量单位。</w:t>
      </w:r>
    </w:p>
    <w:p>
      <w:pPr>
        <w:spacing w:line="440" w:lineRule="exact"/>
        <w:rPr>
          <w:rFonts w:ascii="宋体" w:hAnsi="宋体" w:cs="宋体"/>
          <w:b/>
          <w:bCs/>
          <w:sz w:val="24"/>
          <w:szCs w:val="24"/>
        </w:rPr>
      </w:pPr>
      <w:r>
        <w:rPr>
          <w:rFonts w:hint="eastAsia" w:ascii="宋体" w:hAnsi="宋体" w:cs="宋体"/>
          <w:b/>
          <w:bCs/>
          <w:sz w:val="24"/>
          <w:szCs w:val="24"/>
        </w:rPr>
        <w:t>三、各标段项目需求及技术参数要求</w:t>
      </w:r>
    </w:p>
    <w:p>
      <w:pPr>
        <w:spacing w:line="440" w:lineRule="exact"/>
        <w:rPr>
          <w:rFonts w:ascii="宋体" w:hAnsi="宋体" w:cs="宋体"/>
          <w:b/>
          <w:bCs/>
          <w:sz w:val="24"/>
          <w:szCs w:val="24"/>
        </w:rPr>
      </w:pPr>
    </w:p>
    <w:p>
      <w:pPr>
        <w:spacing w:line="440" w:lineRule="exact"/>
        <w:ind w:firstLine="964" w:firstLineChars="400"/>
        <w:rPr>
          <w:rFonts w:ascii="宋体" w:hAnsi="宋体" w:cs="宋体"/>
          <w:b/>
          <w:bCs/>
          <w:color w:val="FF0000"/>
          <w:sz w:val="24"/>
          <w:szCs w:val="24"/>
        </w:rPr>
      </w:pPr>
      <w:r>
        <w:rPr>
          <w:rFonts w:hint="eastAsia" w:ascii="宋体" w:hAnsi="宋体" w:cs="宋体"/>
          <w:b/>
          <w:bCs/>
          <w:color w:val="FF0000"/>
          <w:sz w:val="24"/>
          <w:szCs w:val="24"/>
        </w:rPr>
        <w:t>（本标段设备清单及参数后附）</w:t>
      </w:r>
    </w:p>
    <w:p>
      <w:pPr>
        <w:spacing w:line="440" w:lineRule="exact"/>
        <w:ind w:firstLine="964" w:firstLineChars="400"/>
        <w:rPr>
          <w:rFonts w:ascii="宋体" w:hAnsi="宋体" w:cs="宋体"/>
          <w:b/>
          <w:bCs/>
          <w:color w:val="FF0000"/>
          <w:sz w:val="24"/>
          <w:szCs w:val="24"/>
        </w:rPr>
      </w:pPr>
    </w:p>
    <w:p>
      <w:pPr>
        <w:spacing w:line="440" w:lineRule="exact"/>
        <w:jc w:val="left"/>
        <w:rPr>
          <w:rFonts w:ascii="宋体" w:hAnsi="宋体" w:cs="宋体"/>
          <w:b/>
          <w:bCs/>
          <w:sz w:val="24"/>
          <w:szCs w:val="24"/>
        </w:rPr>
      </w:pPr>
      <w:r>
        <w:rPr>
          <w:rFonts w:hint="eastAsia" w:ascii="宋体" w:hAnsi="宋体" w:cs="宋体"/>
          <w:b/>
          <w:bCs/>
          <w:sz w:val="24"/>
          <w:szCs w:val="24"/>
        </w:rPr>
        <w:t>四、技术服务</w:t>
      </w:r>
    </w:p>
    <w:p>
      <w:pPr>
        <w:spacing w:line="440" w:lineRule="exact"/>
        <w:jc w:val="left"/>
        <w:rPr>
          <w:rFonts w:ascii="宋体" w:hAnsi="宋体" w:cs="宋体"/>
          <w:sz w:val="24"/>
          <w:szCs w:val="24"/>
        </w:rPr>
      </w:pPr>
      <w:r>
        <w:rPr>
          <w:rFonts w:hint="eastAsia" w:ascii="宋体" w:hAnsi="宋体" w:cs="宋体"/>
          <w:sz w:val="24"/>
          <w:szCs w:val="24"/>
        </w:rPr>
        <w:t>4.1 乙方应派出合格的有经验的技术人员现场试验等进行技术服务指导，并对后期使用和保存的正确性负责。</w:t>
      </w:r>
    </w:p>
    <w:p>
      <w:pPr>
        <w:spacing w:line="440" w:lineRule="exact"/>
        <w:jc w:val="left"/>
        <w:rPr>
          <w:rFonts w:ascii="宋体" w:hAnsi="宋体" w:cs="宋体"/>
          <w:sz w:val="24"/>
          <w:szCs w:val="24"/>
        </w:rPr>
      </w:pPr>
      <w:r>
        <w:rPr>
          <w:rFonts w:hint="eastAsia" w:ascii="宋体" w:hAnsi="宋体" w:cs="宋体"/>
          <w:sz w:val="24"/>
          <w:szCs w:val="24"/>
        </w:rPr>
        <w:t>4.2 乙方的技术人员应对甲方人员详细的解释技术文件和维护，原理，技术，操作规程，使用注意事项等方面合同范围内提出的有关问题，并对使用和维护人员进行免费培训。</w:t>
      </w:r>
    </w:p>
    <w:p>
      <w:pPr>
        <w:spacing w:line="440" w:lineRule="exact"/>
        <w:jc w:val="left"/>
        <w:rPr>
          <w:rFonts w:ascii="宋体" w:hAnsi="宋体" w:cs="宋体"/>
          <w:sz w:val="24"/>
          <w:szCs w:val="24"/>
        </w:rPr>
      </w:pPr>
      <w:r>
        <w:rPr>
          <w:rFonts w:hint="eastAsia" w:ascii="宋体" w:hAnsi="宋体" w:cs="宋体"/>
          <w:sz w:val="24"/>
          <w:szCs w:val="24"/>
        </w:rPr>
        <w:t>4.3 乙方提供的产品的规格、数量有变化时，应及时书面提供给甲方。</w:t>
      </w:r>
    </w:p>
    <w:p>
      <w:pPr>
        <w:spacing w:line="440" w:lineRule="exact"/>
        <w:jc w:val="left"/>
        <w:rPr>
          <w:rFonts w:ascii="宋体" w:hAnsi="宋体" w:cs="宋体"/>
          <w:sz w:val="24"/>
          <w:szCs w:val="24"/>
        </w:rPr>
      </w:pPr>
      <w:r>
        <w:rPr>
          <w:rFonts w:hint="eastAsia" w:ascii="宋体" w:hAnsi="宋体" w:cs="宋体"/>
          <w:sz w:val="24"/>
          <w:szCs w:val="24"/>
        </w:rPr>
        <w:t>4.4 乙方技术人员应在三日内为甲方解决产品出现的一切问题。</w:t>
      </w:r>
    </w:p>
    <w:p>
      <w:pPr>
        <w:spacing w:line="440" w:lineRule="exact"/>
        <w:jc w:val="left"/>
        <w:rPr>
          <w:rFonts w:ascii="宋体" w:hAnsi="宋体" w:cs="宋体"/>
          <w:sz w:val="24"/>
          <w:szCs w:val="24"/>
        </w:rPr>
      </w:pPr>
      <w:r>
        <w:rPr>
          <w:rFonts w:hint="eastAsia" w:ascii="宋体" w:hAnsi="宋体" w:cs="宋体"/>
          <w:sz w:val="24"/>
          <w:szCs w:val="24"/>
        </w:rPr>
        <w:t>4.5 免费提供人员培训</w:t>
      </w:r>
    </w:p>
    <w:p>
      <w:pPr>
        <w:spacing w:line="440" w:lineRule="exact"/>
        <w:jc w:val="left"/>
        <w:rPr>
          <w:rFonts w:ascii="宋体" w:hAnsi="宋体" w:cs="宋体"/>
          <w:sz w:val="24"/>
          <w:szCs w:val="24"/>
        </w:rPr>
      </w:pPr>
      <w:r>
        <w:rPr>
          <w:rFonts w:hint="eastAsia" w:ascii="宋体" w:hAnsi="宋体" w:cs="宋体"/>
          <w:sz w:val="24"/>
          <w:szCs w:val="24"/>
        </w:rPr>
        <w:t>4.6 对于甲方提出的技术问题，供方提供24 小时电话服务，解决甲方遇到的实际问题。</w:t>
      </w:r>
    </w:p>
    <w:p>
      <w:pPr>
        <w:spacing w:line="440" w:lineRule="exact"/>
        <w:jc w:val="left"/>
        <w:rPr>
          <w:rFonts w:ascii="宋体" w:hAnsi="宋体" w:cs="宋体"/>
          <w:b/>
          <w:bCs/>
          <w:sz w:val="24"/>
          <w:szCs w:val="24"/>
        </w:rPr>
      </w:pPr>
      <w:r>
        <w:rPr>
          <w:rFonts w:hint="eastAsia" w:ascii="宋体" w:hAnsi="宋体" w:cs="宋体"/>
          <w:b/>
          <w:bCs/>
          <w:sz w:val="24"/>
          <w:szCs w:val="24"/>
        </w:rPr>
        <w:t>五、验收</w:t>
      </w:r>
    </w:p>
    <w:p>
      <w:pPr>
        <w:spacing w:line="440" w:lineRule="exact"/>
        <w:jc w:val="left"/>
        <w:rPr>
          <w:rFonts w:ascii="宋体" w:hAnsi="宋体" w:cs="宋体"/>
          <w:sz w:val="24"/>
          <w:szCs w:val="24"/>
        </w:rPr>
      </w:pPr>
      <w:r>
        <w:rPr>
          <w:rFonts w:hint="eastAsia" w:ascii="宋体" w:hAnsi="宋体" w:cs="宋体"/>
          <w:sz w:val="24"/>
          <w:szCs w:val="24"/>
        </w:rPr>
        <w:t>5.1 由甲方负责验收。交货地点： 招标人指定地点。</w:t>
      </w:r>
    </w:p>
    <w:p>
      <w:pPr>
        <w:spacing w:line="440" w:lineRule="exact"/>
        <w:jc w:val="left"/>
        <w:rPr>
          <w:rFonts w:ascii="宋体" w:hAnsi="宋体" w:cs="宋体"/>
          <w:sz w:val="24"/>
          <w:szCs w:val="24"/>
        </w:rPr>
      </w:pPr>
      <w:r>
        <w:rPr>
          <w:rFonts w:hint="eastAsia" w:ascii="宋体" w:hAnsi="宋体" w:cs="宋体"/>
          <w:sz w:val="24"/>
          <w:szCs w:val="24"/>
        </w:rPr>
        <w:t>5.2 验收以国家行业现行标准为依据，必须符合产品质量标准要求，满足招标文件技术指标。验收所发生的检定（校准）费用由乙方承担。</w:t>
      </w:r>
    </w:p>
    <w:p>
      <w:pPr>
        <w:spacing w:line="440" w:lineRule="exact"/>
        <w:jc w:val="left"/>
        <w:rPr>
          <w:rFonts w:ascii="宋体" w:hAnsi="宋体" w:cs="宋体"/>
          <w:b/>
          <w:bCs/>
          <w:sz w:val="24"/>
          <w:szCs w:val="24"/>
        </w:rPr>
      </w:pPr>
      <w:r>
        <w:rPr>
          <w:rFonts w:hint="eastAsia" w:ascii="宋体" w:hAnsi="宋体" w:cs="宋体"/>
          <w:b/>
          <w:bCs/>
          <w:sz w:val="24"/>
          <w:szCs w:val="24"/>
        </w:rPr>
        <w:t>六、包装、运输和贮存</w:t>
      </w:r>
    </w:p>
    <w:p>
      <w:pPr>
        <w:spacing w:line="440" w:lineRule="exact"/>
        <w:jc w:val="left"/>
        <w:rPr>
          <w:rFonts w:ascii="宋体" w:hAnsi="宋体" w:cs="宋体"/>
          <w:sz w:val="24"/>
          <w:szCs w:val="24"/>
        </w:rPr>
      </w:pPr>
      <w:r>
        <w:rPr>
          <w:rFonts w:hint="eastAsia" w:ascii="宋体" w:hAnsi="宋体" w:cs="宋体"/>
          <w:sz w:val="24"/>
          <w:szCs w:val="24"/>
        </w:rPr>
        <w:t>6.1 包装，确保其不受污损。</w:t>
      </w:r>
    </w:p>
    <w:p>
      <w:pPr>
        <w:spacing w:line="440" w:lineRule="exact"/>
        <w:jc w:val="left"/>
        <w:rPr>
          <w:rFonts w:ascii="宋体" w:hAnsi="宋体" w:cs="宋体"/>
          <w:sz w:val="24"/>
          <w:szCs w:val="24"/>
        </w:rPr>
      </w:pPr>
      <w:r>
        <w:rPr>
          <w:rFonts w:hint="eastAsia" w:ascii="宋体" w:hAnsi="宋体" w:cs="宋体"/>
          <w:sz w:val="24"/>
          <w:szCs w:val="24"/>
        </w:rPr>
        <w:t>6.2 在运输过程中应采取其它防护措施，以免散失损坏或被盗。</w:t>
      </w:r>
    </w:p>
    <w:p>
      <w:pPr>
        <w:spacing w:line="440" w:lineRule="exact"/>
        <w:jc w:val="left"/>
        <w:rPr>
          <w:rFonts w:ascii="宋体" w:hAnsi="宋体" w:cs="宋体"/>
          <w:sz w:val="24"/>
          <w:szCs w:val="24"/>
        </w:rPr>
      </w:pPr>
      <w:r>
        <w:rPr>
          <w:rFonts w:hint="eastAsia" w:ascii="宋体" w:hAnsi="宋体" w:cs="宋体"/>
          <w:sz w:val="24"/>
          <w:szCs w:val="24"/>
        </w:rPr>
        <w:t>6.3 在外包装应标明买方的订货号、发货号。</w:t>
      </w:r>
    </w:p>
    <w:p>
      <w:pPr>
        <w:spacing w:line="440" w:lineRule="exact"/>
        <w:jc w:val="left"/>
        <w:rPr>
          <w:rFonts w:ascii="宋体" w:hAnsi="宋体" w:cs="宋体"/>
          <w:sz w:val="24"/>
          <w:szCs w:val="24"/>
        </w:rPr>
      </w:pPr>
      <w:r>
        <w:rPr>
          <w:rFonts w:hint="eastAsia" w:ascii="宋体" w:hAnsi="宋体" w:cs="宋体"/>
          <w:sz w:val="24"/>
          <w:szCs w:val="24"/>
        </w:rPr>
        <w:t>6.4 各种包装应能确保在运输过程中，不致遭到损坏、丢失、变形、受潮和腐蚀。</w:t>
      </w:r>
    </w:p>
    <w:p>
      <w:pPr>
        <w:spacing w:line="440" w:lineRule="exact"/>
        <w:jc w:val="left"/>
        <w:rPr>
          <w:rFonts w:ascii="宋体" w:hAnsi="宋体" w:cs="宋体"/>
          <w:sz w:val="24"/>
          <w:szCs w:val="24"/>
        </w:rPr>
      </w:pPr>
      <w:r>
        <w:rPr>
          <w:rFonts w:hint="eastAsia" w:ascii="宋体" w:hAnsi="宋体" w:cs="宋体"/>
          <w:sz w:val="24"/>
          <w:szCs w:val="24"/>
        </w:rPr>
        <w:t>6.5 整体产品或分别运输的都要适合运输和装载的要求。</w:t>
      </w:r>
    </w:p>
    <w:p>
      <w:pPr>
        <w:spacing w:line="440" w:lineRule="exact"/>
        <w:jc w:val="left"/>
        <w:rPr>
          <w:rFonts w:ascii="宋体" w:hAnsi="宋体" w:cs="宋体"/>
          <w:sz w:val="24"/>
          <w:szCs w:val="24"/>
        </w:rPr>
      </w:pPr>
      <w:r>
        <w:rPr>
          <w:rFonts w:hint="eastAsia" w:ascii="宋体" w:hAnsi="宋体" w:cs="宋体"/>
          <w:sz w:val="24"/>
          <w:szCs w:val="24"/>
        </w:rPr>
        <w:t>6.6 随产品提供的技术资料应完整无缺。</w:t>
      </w:r>
    </w:p>
    <w:p>
      <w:pPr>
        <w:spacing w:line="440" w:lineRule="exact"/>
        <w:jc w:val="left"/>
        <w:rPr>
          <w:rFonts w:ascii="宋体" w:hAnsi="宋体" w:cs="宋体"/>
          <w:b/>
          <w:bCs/>
          <w:sz w:val="24"/>
          <w:szCs w:val="24"/>
        </w:rPr>
      </w:pPr>
      <w:r>
        <w:rPr>
          <w:rFonts w:hint="eastAsia" w:ascii="宋体" w:hAnsi="宋体" w:cs="宋体"/>
          <w:b/>
          <w:bCs/>
          <w:sz w:val="24"/>
          <w:szCs w:val="24"/>
        </w:rPr>
        <w:t>七、质量保证和管理</w:t>
      </w:r>
    </w:p>
    <w:p>
      <w:pPr>
        <w:spacing w:line="440" w:lineRule="exact"/>
        <w:jc w:val="left"/>
        <w:rPr>
          <w:rFonts w:ascii="宋体" w:hAnsi="宋体" w:cs="宋体"/>
          <w:sz w:val="24"/>
          <w:szCs w:val="24"/>
        </w:rPr>
      </w:pPr>
      <w:r>
        <w:rPr>
          <w:rFonts w:hint="eastAsia" w:ascii="宋体" w:hAnsi="宋体" w:cs="宋体"/>
          <w:sz w:val="24"/>
          <w:szCs w:val="24"/>
        </w:rPr>
        <w:t>7.1 乙方应保证其提供的均应符合国家规定的质量、规格和性能。</w:t>
      </w:r>
    </w:p>
    <w:p>
      <w:pPr>
        <w:spacing w:line="440" w:lineRule="exact"/>
        <w:jc w:val="left"/>
        <w:rPr>
          <w:rFonts w:ascii="宋体" w:hAnsi="宋体" w:cs="宋体"/>
          <w:sz w:val="24"/>
          <w:szCs w:val="24"/>
        </w:rPr>
      </w:pPr>
      <w:r>
        <w:rPr>
          <w:rFonts w:hint="eastAsia" w:ascii="宋体" w:hAnsi="宋体" w:cs="宋体"/>
          <w:sz w:val="24"/>
          <w:szCs w:val="24"/>
        </w:rPr>
        <w:t>7.2 质保期为现场验收合格后起算，质保期为符合国家有关行业规定。</w:t>
      </w:r>
    </w:p>
    <w:p>
      <w:pPr>
        <w:spacing w:line="440" w:lineRule="exact"/>
        <w:jc w:val="left"/>
        <w:rPr>
          <w:rFonts w:ascii="宋体" w:hAnsi="宋体" w:cs="宋体"/>
          <w:sz w:val="24"/>
          <w:szCs w:val="24"/>
        </w:rPr>
      </w:pPr>
      <w:r>
        <w:rPr>
          <w:rFonts w:hint="eastAsia" w:ascii="宋体" w:hAnsi="宋体" w:cs="宋体"/>
          <w:sz w:val="24"/>
          <w:szCs w:val="24"/>
        </w:rPr>
        <w:t>7.3 在质保期内的质量问题，乙方应负责免费尽快更换，发生的一切费用，包括工时费、交通费、住宿费、通讯费均由乙方承担。给甲方造成损失的，应赔偿相应损失。</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widowControl/>
        <w:snapToGrid w:val="0"/>
        <w:spacing w:before="240" w:after="100" w:afterAutospacing="1" w:line="360" w:lineRule="auto"/>
        <w:contextualSpacing/>
        <w:jc w:val="left"/>
        <w:rPr>
          <w:rFonts w:ascii="仿宋_GB2312" w:eastAsia="仿宋_GB2312"/>
          <w:b/>
          <w:sz w:val="32"/>
          <w:szCs w:val="30"/>
        </w:rPr>
      </w:pPr>
      <w:bookmarkStart w:id="0" w:name="_Toc459275972"/>
      <w:r>
        <w:rPr>
          <w:rFonts w:hint="eastAsia" w:ascii="仿宋_GB2312" w:eastAsia="仿宋_GB2312"/>
          <w:b/>
          <w:sz w:val="32"/>
          <w:szCs w:val="30"/>
        </w:rPr>
        <w:t>一、采购设备明细</w:t>
      </w:r>
    </w:p>
    <w:tbl>
      <w:tblPr>
        <w:tblStyle w:val="8"/>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kern w:val="0"/>
                <w:sz w:val="28"/>
              </w:rPr>
            </w:pPr>
            <w:r>
              <w:rPr>
                <w:rFonts w:hint="eastAsia" w:ascii="仿宋_GB2312" w:eastAsia="仿宋_GB2312" w:cs="宋体"/>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单位</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车厢可卸式垃圾车</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辆</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12方联体式垃圾压缩箱</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个</w:t>
            </w:r>
          </w:p>
        </w:tc>
      </w:tr>
      <w:bookmarkEnd w:id="0"/>
    </w:tbl>
    <w:p>
      <w:pPr>
        <w:jc w:val="left"/>
        <w:outlineLvl w:val="0"/>
        <w:rPr>
          <w:rFonts w:ascii="宋体" w:hAnsi="宋体"/>
          <w:b/>
          <w:bCs/>
          <w:sz w:val="24"/>
        </w:rPr>
      </w:pPr>
      <w:r>
        <w:rPr>
          <w:rFonts w:hint="eastAsia" w:ascii="宋体" w:hAnsi="宋体" w:cs="宋体"/>
          <w:b/>
          <w:sz w:val="24"/>
          <w:szCs w:val="24"/>
        </w:rPr>
        <w:t>二、</w:t>
      </w:r>
      <w:r>
        <w:rPr>
          <w:rFonts w:hint="eastAsia" w:ascii="宋体" w:hAnsi="宋体"/>
          <w:b/>
          <w:bCs/>
          <w:sz w:val="24"/>
        </w:rPr>
        <w:t>14吨钩臂车技术参数要求</w:t>
      </w:r>
    </w:p>
    <w:tbl>
      <w:tblPr>
        <w:tblStyle w:val="8"/>
        <w:tblW w:w="8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882"/>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702" w:type="dxa"/>
            <w:gridSpan w:val="2"/>
          </w:tcPr>
          <w:p>
            <w:pPr>
              <w:tabs>
                <w:tab w:val="center" w:pos="1872"/>
              </w:tabs>
              <w:spacing w:line="400" w:lineRule="exact"/>
              <w:jc w:val="left"/>
              <w:rPr>
                <w:rFonts w:ascii="新宋体" w:hAnsi="新宋体" w:eastAsia="新宋体" w:cs="新宋体"/>
                <w:sz w:val="24"/>
              </w:rPr>
            </w:pPr>
            <w:r>
              <w:rPr>
                <w:rFonts w:hint="eastAsia" w:ascii="新宋体" w:hAnsi="新宋体" w:eastAsia="新宋体" w:cs="新宋体"/>
                <w:sz w:val="24"/>
              </w:rPr>
              <w:tab/>
            </w:r>
            <w:r>
              <w:rPr>
                <w:rFonts w:hint="eastAsia" w:ascii="新宋体" w:hAnsi="新宋体" w:eastAsia="新宋体" w:cs="新宋体"/>
                <w:sz w:val="24"/>
              </w:rPr>
              <w:t>项目</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restart"/>
            <w:vAlign w:val="center"/>
          </w:tcPr>
          <w:p>
            <w:pPr>
              <w:spacing w:line="400" w:lineRule="exact"/>
              <w:jc w:val="center"/>
              <w:rPr>
                <w:rFonts w:ascii="新宋体" w:hAnsi="新宋体" w:eastAsia="新宋体" w:cs="新宋体"/>
                <w:sz w:val="24"/>
              </w:rPr>
            </w:pPr>
            <w:r>
              <w:rPr>
                <w:rFonts w:hint="eastAsia" w:ascii="新宋体" w:hAnsi="新宋体" w:eastAsia="新宋体" w:cs="新宋体"/>
                <w:sz w:val="24"/>
              </w:rPr>
              <w:t>底</w:t>
            </w:r>
          </w:p>
          <w:p>
            <w:pPr>
              <w:spacing w:line="400" w:lineRule="exact"/>
              <w:jc w:val="center"/>
              <w:rPr>
                <w:rFonts w:ascii="新宋体" w:hAnsi="新宋体" w:eastAsia="新宋体" w:cs="新宋体"/>
                <w:sz w:val="24"/>
              </w:rPr>
            </w:pPr>
            <w:r>
              <w:rPr>
                <w:rFonts w:hint="eastAsia" w:ascii="新宋体" w:hAnsi="新宋体" w:eastAsia="新宋体" w:cs="新宋体"/>
                <w:sz w:val="24"/>
              </w:rPr>
              <w:t>盘</w:t>
            </w:r>
          </w:p>
          <w:p>
            <w:pPr>
              <w:spacing w:line="400" w:lineRule="exact"/>
              <w:jc w:val="center"/>
              <w:rPr>
                <w:rFonts w:ascii="新宋体" w:hAnsi="新宋体" w:eastAsia="新宋体" w:cs="新宋体"/>
                <w:sz w:val="24"/>
              </w:rPr>
            </w:pPr>
            <w:r>
              <w:rPr>
                <w:rFonts w:hint="eastAsia" w:ascii="新宋体" w:hAnsi="新宋体" w:eastAsia="新宋体" w:cs="新宋体"/>
                <w:sz w:val="24"/>
              </w:rPr>
              <w:t>参</w:t>
            </w:r>
          </w:p>
          <w:p>
            <w:pPr>
              <w:spacing w:line="400" w:lineRule="exact"/>
              <w:jc w:val="center"/>
              <w:rPr>
                <w:rFonts w:ascii="新宋体" w:hAnsi="新宋体" w:eastAsia="新宋体" w:cs="新宋体"/>
                <w:sz w:val="24"/>
              </w:rPr>
            </w:pPr>
            <w:r>
              <w:rPr>
                <w:rFonts w:hint="eastAsia" w:ascii="新宋体" w:hAnsi="新宋体" w:eastAsia="新宋体" w:cs="新宋体"/>
                <w:sz w:val="24"/>
              </w:rPr>
              <w:t>数</w:t>
            </w: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底盘型号</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DFL1160BX1V（同等或优于）国Ⅴ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轴距           (㎜)</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 xml:space="preserve">驱动方式                         </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轮胎数</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6</w:t>
            </w:r>
            <w:r>
              <w:rPr>
                <w:rFonts w:hint="eastAsia" w:ascii="新宋体" w:hAnsi="新宋体" w:eastAsia="新宋体" w:cs="新宋体"/>
                <w:b/>
                <w:sz w:val="24"/>
              </w:rPr>
              <w:t>（钢丝胎）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 xml:space="preserve">轴数                               </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额定乘员       (人)</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轮距（前/后）  (㎜)</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ascii="宋体" w:hAnsi="宋体"/>
                <w:color w:val="000000"/>
                <w:kern w:val="0"/>
                <w:sz w:val="24"/>
              </w:rPr>
              <w:t>1880/1800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restart"/>
            <w:vAlign w:val="center"/>
          </w:tcPr>
          <w:p>
            <w:pPr>
              <w:spacing w:line="400" w:lineRule="exact"/>
              <w:jc w:val="left"/>
              <w:rPr>
                <w:rFonts w:ascii="新宋体" w:hAnsi="新宋体" w:eastAsia="新宋体" w:cs="新宋体"/>
                <w:sz w:val="24"/>
              </w:rPr>
            </w:pPr>
            <w:r>
              <w:rPr>
                <w:rFonts w:hint="eastAsia" w:ascii="新宋体" w:hAnsi="新宋体" w:eastAsia="新宋体" w:cs="新宋体"/>
                <w:sz w:val="24"/>
              </w:rPr>
              <w:t>尺寸参数</w:t>
            </w: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外形尺寸（长×宽×高）(㎜)</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7400×2480×3100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前悬/后悬      (㎜)</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bCs/>
                <w:sz w:val="24"/>
              </w:rPr>
              <w:t>≤1430/1470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接近角/离去角 （°）</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4702" w:type="dxa"/>
            <w:gridSpan w:val="2"/>
          </w:tcPr>
          <w:p>
            <w:pPr>
              <w:spacing w:line="400" w:lineRule="exact"/>
              <w:jc w:val="center"/>
              <w:rPr>
                <w:rFonts w:ascii="新宋体" w:hAnsi="新宋体" w:eastAsia="新宋体" w:cs="新宋体"/>
                <w:b/>
                <w:sz w:val="24"/>
              </w:rPr>
            </w:pPr>
            <w:r>
              <w:rPr>
                <w:rFonts w:hint="eastAsia" w:ascii="新宋体" w:hAnsi="新宋体" w:eastAsia="新宋体" w:cs="新宋体"/>
                <w:b/>
                <w:sz w:val="24"/>
              </w:rPr>
              <w:t>驾驶室</w:t>
            </w:r>
          </w:p>
        </w:tc>
        <w:tc>
          <w:tcPr>
            <w:tcW w:w="4038" w:type="dxa"/>
          </w:tcPr>
          <w:p>
            <w:pPr>
              <w:spacing w:line="400" w:lineRule="exact"/>
              <w:jc w:val="left"/>
              <w:rPr>
                <w:rFonts w:ascii="新宋体" w:hAnsi="新宋体" w:eastAsia="新宋体" w:cs="新宋体"/>
                <w:b/>
                <w:sz w:val="24"/>
              </w:rPr>
            </w:pPr>
            <w:r>
              <w:rPr>
                <w:rFonts w:hint="eastAsia" w:ascii="新宋体" w:hAnsi="新宋体" w:eastAsia="新宋体" w:cs="新宋体"/>
                <w:b/>
                <w:sz w:val="24"/>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restart"/>
            <w:vAlign w:val="center"/>
          </w:tcPr>
          <w:p>
            <w:pPr>
              <w:spacing w:line="400" w:lineRule="exact"/>
              <w:jc w:val="left"/>
              <w:rPr>
                <w:rFonts w:ascii="新宋体" w:hAnsi="新宋体" w:eastAsia="新宋体" w:cs="新宋体"/>
                <w:sz w:val="24"/>
              </w:rPr>
            </w:pPr>
            <w:r>
              <w:rPr>
                <w:rFonts w:hint="eastAsia" w:ascii="新宋体" w:hAnsi="新宋体" w:eastAsia="新宋体" w:cs="新宋体"/>
                <w:sz w:val="24"/>
              </w:rPr>
              <w:t>质量参数</w:t>
            </w: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整备质量      （kg）</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最大总质量    （kg）</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额定载质量  （kg）</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钩起能力    （T）</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最大倾斜角   (°)</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vAlign w:val="center"/>
          </w:tcPr>
          <w:p>
            <w:pPr>
              <w:widowControl/>
              <w:spacing w:line="400" w:lineRule="atLeast"/>
              <w:rPr>
                <w:rFonts w:ascii="宋体" w:cs="宋体"/>
                <w:sz w:val="24"/>
              </w:rPr>
            </w:pPr>
            <w:r>
              <w:rPr>
                <w:rFonts w:hint="eastAsia" w:ascii="MS Gothic" w:hAnsi="MS Gothic" w:eastAsia="MS Gothic" w:cs="MS Gothic"/>
                <w:color w:val="333333"/>
                <w:sz w:val="24"/>
                <w:shd w:val="clear" w:color="auto" w:fill="FFFFFF"/>
              </w:rPr>
              <w:t>✶</w:t>
            </w:r>
            <w:r>
              <w:rPr>
                <w:rFonts w:hint="eastAsia" w:ascii="宋体" w:hAnsi="宋体" w:cs="宋体"/>
                <w:sz w:val="24"/>
              </w:rPr>
              <w:t>钩心高度</w:t>
            </w:r>
          </w:p>
        </w:tc>
        <w:tc>
          <w:tcPr>
            <w:tcW w:w="4038" w:type="dxa"/>
            <w:vAlign w:val="center"/>
          </w:tcPr>
          <w:p>
            <w:pPr>
              <w:widowControl/>
              <w:spacing w:line="400" w:lineRule="atLeast"/>
              <w:jc w:val="center"/>
              <w:rPr>
                <w:rFonts w:ascii="宋体" w:cs="宋体"/>
                <w:sz w:val="24"/>
              </w:rPr>
            </w:pPr>
            <w:r>
              <w:rPr>
                <w:rFonts w:ascii="宋体" w:hAnsi="宋体" w:cs="宋体"/>
                <w:sz w:val="24"/>
              </w:rPr>
              <w:t>1570mm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vAlign w:val="center"/>
          </w:tcPr>
          <w:p>
            <w:pPr>
              <w:widowControl/>
              <w:spacing w:line="400" w:lineRule="atLeast"/>
              <w:rPr>
                <w:rFonts w:ascii="宋体" w:cs="宋体"/>
                <w:sz w:val="24"/>
              </w:rPr>
            </w:pPr>
            <w:r>
              <w:rPr>
                <w:rFonts w:hint="eastAsia" w:ascii="MS Gothic" w:hAnsi="MS Gothic" w:eastAsia="MS Gothic" w:cs="MS Gothic"/>
                <w:color w:val="333333"/>
                <w:sz w:val="24"/>
                <w:shd w:val="clear" w:color="auto" w:fill="FFFFFF"/>
              </w:rPr>
              <w:t>✶</w:t>
            </w:r>
            <w:r>
              <w:rPr>
                <w:rFonts w:hint="eastAsia" w:ascii="宋体" w:hAnsi="宋体" w:cs="宋体"/>
                <w:sz w:val="24"/>
              </w:rPr>
              <w:t>后靠轮允许进入宽度</w:t>
            </w:r>
          </w:p>
        </w:tc>
        <w:tc>
          <w:tcPr>
            <w:tcW w:w="4038" w:type="dxa"/>
            <w:vAlign w:val="center"/>
          </w:tcPr>
          <w:p>
            <w:pPr>
              <w:widowControl/>
              <w:spacing w:line="400" w:lineRule="atLeast"/>
              <w:jc w:val="center"/>
              <w:rPr>
                <w:rFonts w:ascii="宋体" w:cs="宋体"/>
                <w:sz w:val="24"/>
              </w:rPr>
            </w:pPr>
            <w:r>
              <w:rPr>
                <w:rFonts w:ascii="宋体" w:hAnsi="宋体" w:cs="宋体"/>
                <w:sz w:val="24"/>
              </w:rPr>
              <w:t>10</w:t>
            </w:r>
            <w:r>
              <w:rPr>
                <w:rFonts w:hint="eastAsia" w:ascii="宋体" w:hAnsi="宋体" w:cs="宋体"/>
                <w:sz w:val="24"/>
              </w:rPr>
              <w:t>70</w:t>
            </w:r>
            <w:r>
              <w:rPr>
                <w:rFonts w:ascii="宋体" w:hAnsi="宋体" w:cs="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液压系统额定压力（MPa）</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最高车速    （km/h）</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最小离地间隙 (mm)</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最小转弯直径（m）</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restart"/>
            <w:vAlign w:val="center"/>
          </w:tcPr>
          <w:p>
            <w:pPr>
              <w:spacing w:line="400" w:lineRule="exact"/>
              <w:jc w:val="center"/>
              <w:rPr>
                <w:rFonts w:ascii="新宋体" w:hAnsi="新宋体" w:eastAsia="新宋体" w:cs="新宋体"/>
                <w:sz w:val="24"/>
              </w:rPr>
            </w:pPr>
            <w:r>
              <w:rPr>
                <w:rFonts w:hint="eastAsia" w:ascii="新宋体" w:hAnsi="新宋体" w:eastAsia="新宋体" w:cs="新宋体"/>
                <w:sz w:val="24"/>
              </w:rPr>
              <w:t>发</w:t>
            </w:r>
          </w:p>
          <w:p>
            <w:pPr>
              <w:spacing w:line="400" w:lineRule="exact"/>
              <w:jc w:val="center"/>
              <w:rPr>
                <w:rFonts w:ascii="新宋体" w:hAnsi="新宋体" w:eastAsia="新宋体" w:cs="新宋体"/>
                <w:sz w:val="24"/>
              </w:rPr>
            </w:pPr>
            <w:r>
              <w:rPr>
                <w:rFonts w:hint="eastAsia" w:ascii="新宋体" w:hAnsi="新宋体" w:eastAsia="新宋体" w:cs="新宋体"/>
                <w:sz w:val="24"/>
              </w:rPr>
              <w:t>动</w:t>
            </w:r>
          </w:p>
          <w:p>
            <w:pPr>
              <w:spacing w:line="400" w:lineRule="exact"/>
              <w:jc w:val="center"/>
              <w:rPr>
                <w:rFonts w:ascii="新宋体" w:hAnsi="新宋体" w:eastAsia="新宋体" w:cs="新宋体"/>
                <w:sz w:val="24"/>
              </w:rPr>
            </w:pPr>
            <w:r>
              <w:rPr>
                <w:rFonts w:hint="eastAsia" w:ascii="新宋体" w:hAnsi="新宋体" w:eastAsia="新宋体" w:cs="新宋体"/>
                <w:sz w:val="24"/>
              </w:rPr>
              <w:t>机</w:t>
            </w:r>
          </w:p>
        </w:tc>
        <w:tc>
          <w:tcPr>
            <w:tcW w:w="3882" w:type="dxa"/>
            <w:vAlign w:val="center"/>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型号</w:t>
            </w:r>
          </w:p>
        </w:tc>
        <w:tc>
          <w:tcPr>
            <w:tcW w:w="4038" w:type="dxa"/>
            <w:vAlign w:val="center"/>
          </w:tcPr>
          <w:p>
            <w:pPr>
              <w:pStyle w:val="9"/>
              <w:jc w:val="center"/>
              <w:rPr>
                <w:color w:val="auto"/>
              </w:rPr>
            </w:pPr>
            <w:r>
              <w:rPr>
                <w:color w:val="auto"/>
              </w:rPr>
              <w:t>ISD210 50</w:t>
            </w:r>
            <w:r>
              <w:rPr>
                <w:rFonts w:hint="eastAsia"/>
                <w:color w:val="auto"/>
              </w:rPr>
              <w:t xml:space="preserve"> （同等或优于）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排量           (ml)</w:t>
            </w:r>
          </w:p>
        </w:tc>
        <w:tc>
          <w:tcPr>
            <w:tcW w:w="4038" w:type="dxa"/>
            <w:vAlign w:val="center"/>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额定功率/转速(kw/r/min))</w:t>
            </w:r>
          </w:p>
        </w:tc>
        <w:tc>
          <w:tcPr>
            <w:tcW w:w="4038" w:type="dxa"/>
          </w:tcPr>
          <w:p>
            <w:pPr>
              <w:spacing w:line="400" w:lineRule="exact"/>
              <w:jc w:val="center"/>
              <w:rPr>
                <w:rFonts w:ascii="新宋体" w:hAnsi="新宋体" w:eastAsia="新宋体" w:cs="新宋体"/>
                <w:sz w:val="24"/>
              </w:rPr>
            </w:pPr>
            <w:r>
              <w:rPr>
                <w:rFonts w:hint="eastAsia" w:ascii="宋体" w:hAnsi="宋体"/>
                <w:sz w:val="24"/>
              </w:rPr>
              <w:t>≥</w:t>
            </w:r>
            <w:r>
              <w:rPr>
                <w:rFonts w:hint="eastAsia" w:ascii="新宋体" w:hAnsi="新宋体" w:eastAsia="新宋体" w:cs="新宋体"/>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燃料种类</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柴油</w:t>
            </w:r>
          </w:p>
        </w:tc>
      </w:tr>
    </w:tbl>
    <w:p>
      <w:pPr>
        <w:widowControl/>
        <w:shd w:val="clear" w:color="auto" w:fill="FFFFFF"/>
        <w:spacing w:before="312" w:beforeLines="100" w:line="360" w:lineRule="auto"/>
        <w:ind w:firstLine="480" w:firstLineChars="200"/>
        <w:jc w:val="left"/>
        <w:rPr>
          <w:rFonts w:cs="Arial"/>
          <w:bCs/>
          <w:kern w:val="0"/>
          <w:sz w:val="24"/>
        </w:rPr>
        <w:sectPr>
          <w:pgSz w:w="11906" w:h="16838"/>
          <w:pgMar w:top="1178" w:right="1709" w:bottom="1380" w:left="1377" w:header="851" w:footer="992" w:gutter="0"/>
          <w:cols w:space="720" w:num="1"/>
          <w:docGrid w:type="lines" w:linePitch="312" w:charSpace="0"/>
        </w:sectPr>
      </w:pPr>
    </w:p>
    <w:p>
      <w:pPr>
        <w:widowControl/>
        <w:shd w:val="clear" w:color="auto" w:fill="FFFFFF"/>
        <w:spacing w:before="312" w:beforeLines="100" w:line="360" w:lineRule="auto"/>
        <w:ind w:firstLine="480" w:firstLineChars="200"/>
        <w:jc w:val="left"/>
        <w:rPr>
          <w:rFonts w:cs="Arial"/>
          <w:bCs/>
          <w:kern w:val="0"/>
          <w:sz w:val="24"/>
        </w:rPr>
      </w:pPr>
      <w:r>
        <w:rPr>
          <w:rFonts w:cs="Arial"/>
          <w:bCs/>
          <w:kern w:val="0"/>
          <w:sz w:val="24"/>
        </w:rPr>
        <w:t>车厢可卸式垃圾车是一种集装、卸、运功能于一体的运输车辆。 利用拉臂装置对垃圾箱实行快速装卸，并</w:t>
      </w:r>
      <w:r>
        <w:rPr>
          <w:rFonts w:hint="eastAsia" w:cs="Arial"/>
          <w:bCs/>
          <w:kern w:val="0"/>
          <w:sz w:val="24"/>
        </w:rPr>
        <w:t>具备</w:t>
      </w:r>
      <w:r>
        <w:rPr>
          <w:rFonts w:cs="Arial"/>
          <w:bCs/>
          <w:kern w:val="0"/>
          <w:sz w:val="24"/>
        </w:rPr>
        <w:t>垃圾自卸</w:t>
      </w:r>
      <w:r>
        <w:rPr>
          <w:rFonts w:hint="eastAsia" w:cs="Arial"/>
          <w:bCs/>
          <w:kern w:val="0"/>
          <w:sz w:val="24"/>
        </w:rPr>
        <w:t>功能</w:t>
      </w:r>
      <w:r>
        <w:rPr>
          <w:rFonts w:cs="Arial"/>
          <w:bCs/>
          <w:kern w:val="0"/>
          <w:sz w:val="24"/>
        </w:rPr>
        <w:t>。通过一车多箱可以明显提高车辆利用率，减少车辆返程空载的浪费和装卸时间的延迟。适用于城镇袋装、散装生活垃圾物的收集、运输作业</w:t>
      </w:r>
      <w:r>
        <w:rPr>
          <w:rFonts w:hint="eastAsia" w:cs="Arial"/>
          <w:bCs/>
          <w:kern w:val="0"/>
          <w:sz w:val="24"/>
        </w:rPr>
        <w:t>。</w:t>
      </w:r>
    </w:p>
    <w:p>
      <w:pPr>
        <w:spacing w:line="360" w:lineRule="auto"/>
        <w:rPr>
          <w:rFonts w:cs="Arial"/>
          <w:b/>
          <w:bCs/>
          <w:kern w:val="0"/>
          <w:sz w:val="24"/>
        </w:rPr>
      </w:pPr>
    </w:p>
    <w:p>
      <w:pPr>
        <w:spacing w:line="360" w:lineRule="auto"/>
        <w:rPr>
          <w:rFonts w:cs="Arial"/>
          <w:b/>
          <w:bCs/>
          <w:kern w:val="0"/>
          <w:sz w:val="24"/>
        </w:rPr>
      </w:pPr>
      <w:r>
        <w:rPr>
          <w:rFonts w:hint="eastAsia" w:cs="Arial"/>
          <w:b/>
          <w:bCs/>
          <w:kern w:val="0"/>
          <w:sz w:val="24"/>
        </w:rPr>
        <w:t>性能要求</w:t>
      </w:r>
    </w:p>
    <w:p>
      <w:pPr>
        <w:spacing w:line="360" w:lineRule="auto"/>
        <w:jc w:val="left"/>
        <w:rPr>
          <w:rFonts w:cs="Arial"/>
          <w:bCs/>
          <w:kern w:val="0"/>
          <w:sz w:val="24"/>
        </w:rPr>
      </w:pPr>
      <w:r>
        <w:rPr>
          <w:rFonts w:hint="eastAsia" w:cs="Arial"/>
          <w:bCs/>
          <w:kern w:val="0"/>
          <w:sz w:val="24"/>
        </w:rPr>
        <w:t>1、 集装载、运输、自卸于一身，无需辅助设备，操作方便简单；</w:t>
      </w:r>
    </w:p>
    <w:p>
      <w:pPr>
        <w:spacing w:line="360" w:lineRule="auto"/>
        <w:jc w:val="left"/>
        <w:rPr>
          <w:rFonts w:cs="Arial"/>
          <w:bCs/>
          <w:kern w:val="0"/>
          <w:sz w:val="24"/>
        </w:rPr>
      </w:pPr>
      <w:r>
        <w:rPr>
          <w:rFonts w:hint="eastAsia" w:cs="Arial"/>
          <w:bCs/>
          <w:kern w:val="0"/>
          <w:sz w:val="24"/>
        </w:rPr>
        <w:t>2、一车多箱，循环运输、提高车辆使用效率，降低成本；</w:t>
      </w:r>
      <w:r>
        <w:rPr>
          <w:rFonts w:hint="eastAsia" w:cs="Arial"/>
          <w:bCs/>
          <w:kern w:val="0"/>
          <w:sz w:val="24"/>
        </w:rPr>
        <w:br w:type="textWrapping"/>
      </w:r>
      <w:r>
        <w:rPr>
          <w:rFonts w:hint="eastAsia" w:cs="Arial"/>
          <w:bCs/>
          <w:kern w:val="0"/>
          <w:sz w:val="24"/>
        </w:rPr>
        <w:t>3、钩臂系统采用成套设备，安全可靠，自重轻，装载质量大；</w:t>
      </w:r>
    </w:p>
    <w:p>
      <w:pPr>
        <w:spacing w:line="360" w:lineRule="auto"/>
        <w:jc w:val="left"/>
        <w:rPr>
          <w:rFonts w:cs="Arial"/>
          <w:bCs/>
          <w:kern w:val="0"/>
          <w:sz w:val="24"/>
        </w:rPr>
      </w:pPr>
      <w:r>
        <w:rPr>
          <w:rFonts w:hint="eastAsia" w:cs="Arial"/>
          <w:bCs/>
          <w:kern w:val="0"/>
          <w:sz w:val="24"/>
        </w:rPr>
        <w:t>4、钩臂系统采用滑臂式铰接结构，入钩便捷、维修简易、提卸箱体限高小，节省长度空间；</w:t>
      </w:r>
      <w:r>
        <w:rPr>
          <w:rFonts w:hint="eastAsia" w:cs="Arial"/>
          <w:bCs/>
          <w:kern w:val="0"/>
          <w:sz w:val="24"/>
        </w:rPr>
        <w:br w:type="textWrapping"/>
      </w:r>
      <w:r>
        <w:rPr>
          <w:rFonts w:hint="eastAsia" w:cs="Arial"/>
          <w:bCs/>
          <w:kern w:val="0"/>
          <w:sz w:val="24"/>
        </w:rPr>
        <w:t>5、所有操作均可在驾驶室内完成，操作简单、方便，降低了操作者的劳动强度；</w:t>
      </w:r>
    </w:p>
    <w:p>
      <w:pPr>
        <w:spacing w:line="360" w:lineRule="auto"/>
        <w:jc w:val="left"/>
        <w:rPr>
          <w:b/>
          <w:sz w:val="36"/>
          <w:szCs w:val="36"/>
        </w:rPr>
      </w:pPr>
      <w:r>
        <w:rPr>
          <w:rFonts w:hint="eastAsia" w:cs="Arial"/>
          <w:bCs/>
          <w:kern w:val="0"/>
          <w:sz w:val="24"/>
        </w:rPr>
        <w:t>6、 拉臂上装与垃圾箱均采用高强度宝钢板制作而成，自重轻且结构强度高，耐腐蚀，使用寿命长；</w:t>
      </w: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pacing w:line="360" w:lineRule="auto"/>
        <w:ind w:firstLine="200"/>
        <w:jc w:val="center"/>
        <w:outlineLvl w:val="0"/>
        <w:rPr>
          <w:rFonts w:ascii="宋体" w:hAnsi="宋体"/>
          <w:b/>
          <w:bCs/>
          <w:sz w:val="24"/>
        </w:rPr>
      </w:pPr>
      <w:r>
        <w:rPr>
          <w:rFonts w:ascii="宋体" w:hAnsi="宋体"/>
          <w:bCs/>
        </w:rPr>
        <w:br w:type="page"/>
      </w:r>
      <w:r>
        <w:rPr>
          <w:rFonts w:hint="eastAsia" w:ascii="宋体" w:hAnsi="宋体"/>
          <w:b/>
          <w:bCs/>
          <w:sz w:val="24"/>
        </w:rPr>
        <w:t>12立方压缩箱体技术参数要求</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3477"/>
        <w:gridCol w:w="226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Align w:val="center"/>
          </w:tcPr>
          <w:p>
            <w:pPr>
              <w:jc w:val="center"/>
              <w:rPr>
                <w:rFonts w:ascii="宋体" w:hAnsi="宋体"/>
                <w:sz w:val="24"/>
              </w:rPr>
            </w:pPr>
            <w:r>
              <w:rPr>
                <w:rFonts w:hint="eastAsia" w:ascii="宋体" w:hAnsi="宋体"/>
                <w:sz w:val="24"/>
              </w:rPr>
              <w:t>项目</w:t>
            </w:r>
          </w:p>
        </w:tc>
        <w:tc>
          <w:tcPr>
            <w:tcW w:w="3477" w:type="dxa"/>
            <w:vAlign w:val="center"/>
          </w:tcPr>
          <w:p>
            <w:pPr>
              <w:jc w:val="center"/>
              <w:rPr>
                <w:rFonts w:ascii="宋体" w:hAnsi="宋体"/>
                <w:sz w:val="24"/>
              </w:rPr>
            </w:pPr>
            <w:r>
              <w:rPr>
                <w:rFonts w:hint="eastAsia" w:ascii="宋体" w:hAnsi="宋体"/>
                <w:sz w:val="24"/>
              </w:rPr>
              <w:t>指标</w:t>
            </w:r>
          </w:p>
        </w:tc>
        <w:tc>
          <w:tcPr>
            <w:tcW w:w="2268" w:type="dxa"/>
            <w:vAlign w:val="center"/>
          </w:tcPr>
          <w:p>
            <w:pPr>
              <w:jc w:val="center"/>
              <w:rPr>
                <w:rFonts w:ascii="宋体" w:hAnsi="宋体"/>
                <w:sz w:val="24"/>
              </w:rPr>
            </w:pPr>
            <w:r>
              <w:rPr>
                <w:rFonts w:hint="eastAsia" w:ascii="宋体" w:hAnsi="宋体"/>
                <w:sz w:val="24"/>
              </w:rPr>
              <w:t>参数</w:t>
            </w:r>
          </w:p>
        </w:tc>
        <w:tc>
          <w:tcPr>
            <w:tcW w:w="1470"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restart"/>
            <w:vAlign w:val="center"/>
          </w:tcPr>
          <w:p>
            <w:pPr>
              <w:jc w:val="center"/>
              <w:rPr>
                <w:rFonts w:ascii="宋体" w:hAnsi="宋体"/>
                <w:sz w:val="24"/>
              </w:rPr>
            </w:pPr>
            <w:r>
              <w:rPr>
                <w:rFonts w:hint="eastAsia" w:ascii="宋体" w:hAnsi="宋体"/>
                <w:sz w:val="24"/>
              </w:rPr>
              <w:t>垃圾</w:t>
            </w:r>
            <w:r>
              <w:rPr>
                <w:rFonts w:ascii="宋体" w:hAnsi="宋体"/>
                <w:sz w:val="24"/>
              </w:rPr>
              <w:t>压缩箱体主要</w:t>
            </w:r>
            <w:r>
              <w:rPr>
                <w:rFonts w:hint="eastAsia" w:ascii="宋体" w:hAnsi="宋体"/>
                <w:sz w:val="24"/>
              </w:rPr>
              <w:t>技术</w:t>
            </w:r>
            <w:r>
              <w:rPr>
                <w:rFonts w:ascii="宋体" w:hAnsi="宋体"/>
                <w:sz w:val="24"/>
              </w:rPr>
              <w:t>参数</w:t>
            </w:r>
          </w:p>
        </w:tc>
        <w:tc>
          <w:tcPr>
            <w:tcW w:w="3477" w:type="dxa"/>
            <w:vAlign w:val="center"/>
          </w:tcPr>
          <w:p>
            <w:pPr>
              <w:jc w:val="center"/>
              <w:rPr>
                <w:rFonts w:ascii="宋体" w:hAnsi="宋体"/>
                <w:sz w:val="24"/>
              </w:rPr>
            </w:pPr>
            <w:r>
              <w:rPr>
                <w:rFonts w:hint="eastAsia" w:ascii="宋体" w:hAnsi="宋体"/>
                <w:sz w:val="24"/>
              </w:rPr>
              <w:t>箱体</w:t>
            </w:r>
            <w:r>
              <w:rPr>
                <w:rFonts w:ascii="宋体" w:hAnsi="宋体"/>
                <w:sz w:val="24"/>
              </w:rPr>
              <w:t>外形尺寸</w:t>
            </w:r>
            <w:r>
              <w:rPr>
                <w:rFonts w:hint="eastAsia" w:ascii="宋体" w:hAnsi="宋体"/>
                <w:sz w:val="24"/>
              </w:rPr>
              <w:t>（mm*</w:t>
            </w:r>
            <w:r>
              <w:rPr>
                <w:rFonts w:ascii="宋体" w:hAnsi="宋体"/>
                <w:sz w:val="24"/>
              </w:rPr>
              <w:t>mm</w:t>
            </w:r>
            <w:r>
              <w:rPr>
                <w:rFonts w:hint="eastAsia" w:ascii="宋体" w:hAnsi="宋体"/>
                <w:sz w:val="24"/>
              </w:rPr>
              <w:t>*</w:t>
            </w:r>
            <w:r>
              <w:rPr>
                <w:rFonts w:ascii="宋体" w:hAnsi="宋体"/>
                <w:sz w:val="24"/>
              </w:rPr>
              <w:t>mm</w:t>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5000</w:t>
            </w:r>
            <w:r>
              <w:rPr>
                <w:rFonts w:hint="eastAsia" w:ascii="宋体" w:hAnsi="宋体"/>
                <w:sz w:val="24"/>
              </w:rPr>
              <w:t>*</w:t>
            </w:r>
            <w:r>
              <w:rPr>
                <w:rFonts w:ascii="宋体" w:hAnsi="宋体"/>
                <w:sz w:val="24"/>
              </w:rPr>
              <w:t>2</w:t>
            </w:r>
            <w:r>
              <w:rPr>
                <w:rFonts w:hint="eastAsia" w:ascii="宋体" w:hAnsi="宋体"/>
                <w:sz w:val="24"/>
              </w:rPr>
              <w:t>500*23</w:t>
            </w:r>
            <w:r>
              <w:rPr>
                <w:rFonts w:ascii="宋体" w:hAnsi="宋体"/>
                <w:sz w:val="24"/>
              </w:rPr>
              <w:t>20</w:t>
            </w:r>
          </w:p>
        </w:tc>
        <w:tc>
          <w:tcPr>
            <w:tcW w:w="1470" w:type="dxa"/>
            <w:vAlign w:val="center"/>
          </w:tcPr>
          <w:p>
            <w:pPr>
              <w:jc w:val="center"/>
              <w:rPr>
                <w:rFonts w:ascii="宋体" w:hAnsi="宋体"/>
                <w:sz w:val="24"/>
              </w:rPr>
            </w:pPr>
            <w:r>
              <w:rPr>
                <w:rFonts w:hint="eastAsia" w:ascii="宋体" w:hAnsi="宋体"/>
                <w:sz w:val="24"/>
              </w:rPr>
              <w:t>料斗扣合后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垃圾压缩</w:t>
            </w:r>
            <w:r>
              <w:rPr>
                <w:rFonts w:ascii="宋体" w:hAnsi="宋体"/>
                <w:sz w:val="24"/>
              </w:rPr>
              <w:t>箱体容积</w:t>
            </w:r>
            <w:r>
              <w:rPr>
                <w:rFonts w:hint="eastAsia" w:ascii="宋体" w:hAnsi="宋体"/>
                <w:sz w:val="24"/>
              </w:rPr>
              <w:t>（</w:t>
            </w:r>
            <w:r>
              <w:rPr>
                <w:rFonts w:ascii="宋体" w:hAnsi="宋体"/>
                <w:sz w:val="24"/>
              </w:rPr>
              <w:fldChar w:fldCharType="begin"/>
            </w:r>
            <w:r>
              <w:rPr>
                <w:rFonts w:ascii="宋体" w:hAnsi="宋体"/>
                <w:sz w:val="24"/>
              </w:rPr>
              <w:instrText xml:space="preserve"> QUOTE </w:instrText>
            </w:r>
            <w:r>
              <w:rPr>
                <w:rFonts w:ascii="宋体" w:hAnsi="宋体"/>
                <w:position w:val="-8"/>
                <w:sz w:val="24"/>
              </w:rPr>
              <w:drawing>
                <wp:inline distT="0" distB="0" distL="114300" distR="114300">
                  <wp:extent cx="171450" cy="20002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instrText xml:space="preserve"> </w:instrText>
            </w:r>
            <w:r>
              <w:rPr>
                <w:rFonts w:ascii="宋体" w:hAnsi="宋体"/>
                <w:sz w:val="24"/>
              </w:rPr>
              <w:fldChar w:fldCharType="separate"/>
            </w:r>
            <w:r>
              <w:rPr>
                <w:rFonts w:ascii="宋体" w:hAnsi="宋体"/>
                <w:position w:val="-8"/>
                <w:sz w:val="24"/>
              </w:rPr>
              <w:drawing>
                <wp:inline distT="0" distB="0" distL="114300" distR="114300">
                  <wp:extent cx="171450" cy="20002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fldChar w:fldCharType="end"/>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≥12（存储箱</w:t>
            </w:r>
            <w:r>
              <w:rPr>
                <w:rFonts w:ascii="宋体" w:hAnsi="宋体"/>
                <w:sz w:val="24"/>
              </w:rPr>
              <w:t>容积）</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压缩箱容积（</w:t>
            </w:r>
            <w:r>
              <w:rPr>
                <w:rFonts w:ascii="宋体" w:hAnsi="宋体"/>
                <w:sz w:val="24"/>
              </w:rPr>
              <w:fldChar w:fldCharType="begin"/>
            </w:r>
            <w:r>
              <w:rPr>
                <w:rFonts w:ascii="宋体" w:hAnsi="宋体"/>
                <w:sz w:val="24"/>
              </w:rPr>
              <w:instrText xml:space="preserve"> QUOTE </w:instrText>
            </w:r>
            <w:r>
              <w:rPr>
                <w:rFonts w:ascii="宋体" w:hAnsi="宋体"/>
                <w:position w:val="-8"/>
                <w:sz w:val="24"/>
              </w:rPr>
              <w:drawing>
                <wp:inline distT="0" distB="0" distL="114300" distR="114300">
                  <wp:extent cx="171450" cy="200025"/>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instrText xml:space="preserve"> </w:instrText>
            </w:r>
            <w:r>
              <w:rPr>
                <w:rFonts w:ascii="宋体" w:hAnsi="宋体"/>
                <w:sz w:val="24"/>
              </w:rPr>
              <w:fldChar w:fldCharType="separate"/>
            </w:r>
            <w:r>
              <w:rPr>
                <w:rFonts w:ascii="宋体" w:hAnsi="宋体"/>
                <w:position w:val="-8"/>
                <w:sz w:val="24"/>
              </w:rPr>
              <w:drawing>
                <wp:inline distT="0" distB="0" distL="114300" distR="114300">
                  <wp:extent cx="171450" cy="200025"/>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fldChar w:fldCharType="end"/>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1.8</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最大</w:t>
            </w:r>
            <w:r>
              <w:rPr>
                <w:rFonts w:ascii="宋体" w:hAnsi="宋体"/>
                <w:sz w:val="24"/>
              </w:rPr>
              <w:t>压缩力</w:t>
            </w:r>
            <w:r>
              <w:rPr>
                <w:rFonts w:hint="eastAsia" w:ascii="宋体" w:hAnsi="宋体"/>
                <w:sz w:val="24"/>
              </w:rPr>
              <w:t>（KN）</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260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推头</w:t>
            </w:r>
            <w:r>
              <w:rPr>
                <w:rFonts w:ascii="宋体" w:hAnsi="宋体"/>
                <w:sz w:val="24"/>
              </w:rPr>
              <w:t>大小</w:t>
            </w:r>
            <w:r>
              <w:rPr>
                <w:rFonts w:hint="eastAsia" w:ascii="宋体" w:hAnsi="宋体"/>
                <w:sz w:val="24"/>
              </w:rPr>
              <w:t>（mm*</w:t>
            </w:r>
            <w:r>
              <w:rPr>
                <w:rFonts w:ascii="宋体" w:hAnsi="宋体"/>
                <w:sz w:val="24"/>
              </w:rPr>
              <w:t>mm</w:t>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≥500</w:t>
            </w:r>
            <w:r>
              <w:rPr>
                <w:rFonts w:ascii="宋体" w:hAnsi="宋体"/>
                <w:sz w:val="24"/>
              </w:rPr>
              <w:t>*19</w:t>
            </w:r>
            <w:r>
              <w:rPr>
                <w:rFonts w:hint="eastAsia" w:ascii="宋体" w:hAnsi="宋体"/>
                <w:sz w:val="24"/>
              </w:rPr>
              <w:t>00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压缩行程mm</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1045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单次压缩</w:t>
            </w:r>
            <w:r>
              <w:rPr>
                <w:rFonts w:ascii="宋体" w:hAnsi="宋体"/>
                <w:sz w:val="24"/>
              </w:rPr>
              <w:t>循环时间</w:t>
            </w:r>
            <w:r>
              <w:rPr>
                <w:rFonts w:hint="eastAsia" w:ascii="宋体" w:hAnsi="宋体"/>
                <w:sz w:val="24"/>
              </w:rPr>
              <w:t>（s）</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35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料斗</w:t>
            </w:r>
            <w:r>
              <w:rPr>
                <w:rFonts w:ascii="宋体" w:hAnsi="宋体"/>
                <w:sz w:val="24"/>
              </w:rPr>
              <w:t>总容积</w:t>
            </w:r>
            <w:r>
              <w:rPr>
                <w:rFonts w:hint="eastAsia" w:ascii="宋体" w:hAnsi="宋体"/>
                <w:sz w:val="24"/>
              </w:rPr>
              <w:t>（</w:t>
            </w:r>
            <w:r>
              <w:rPr>
                <w:rFonts w:ascii="宋体" w:hAnsi="宋体"/>
                <w:sz w:val="24"/>
              </w:rPr>
              <w:fldChar w:fldCharType="begin"/>
            </w:r>
            <w:r>
              <w:rPr>
                <w:rFonts w:ascii="宋体" w:hAnsi="宋体"/>
                <w:sz w:val="24"/>
              </w:rPr>
              <w:instrText xml:space="preserve"> QUOTE </w:instrText>
            </w:r>
            <w:r>
              <w:rPr>
                <w:rFonts w:ascii="宋体" w:hAnsi="宋体"/>
                <w:position w:val="-8"/>
                <w:sz w:val="24"/>
              </w:rPr>
              <w:drawing>
                <wp:inline distT="0" distB="0" distL="114300" distR="114300">
                  <wp:extent cx="171450" cy="20002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instrText xml:space="preserve"> </w:instrText>
            </w:r>
            <w:r>
              <w:rPr>
                <w:rFonts w:ascii="宋体" w:hAnsi="宋体"/>
                <w:sz w:val="24"/>
              </w:rPr>
              <w:fldChar w:fldCharType="separate"/>
            </w:r>
            <w:r>
              <w:rPr>
                <w:rFonts w:ascii="宋体" w:hAnsi="宋体"/>
                <w:position w:val="-8"/>
                <w:sz w:val="24"/>
              </w:rPr>
              <w:drawing>
                <wp:inline distT="0" distB="0" distL="114300" distR="114300">
                  <wp:extent cx="171450" cy="200025"/>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1450" cy="200025"/>
                          </a:xfrm>
                          <a:prstGeom prst="rect">
                            <a:avLst/>
                          </a:prstGeom>
                          <a:noFill/>
                          <a:ln w="9525">
                            <a:noFill/>
                          </a:ln>
                        </pic:spPr>
                      </pic:pic>
                    </a:graphicData>
                  </a:graphic>
                </wp:inline>
              </w:drawing>
            </w:r>
            <w:r>
              <w:rPr>
                <w:rFonts w:ascii="宋体" w:hAnsi="宋体"/>
                <w:sz w:val="24"/>
              </w:rPr>
              <w:fldChar w:fldCharType="end"/>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2.5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设备</w:t>
            </w:r>
            <w:r>
              <w:rPr>
                <w:rFonts w:ascii="宋体" w:hAnsi="宋体"/>
                <w:sz w:val="24"/>
              </w:rPr>
              <w:t>垃圾处理能力</w:t>
            </w:r>
            <w:r>
              <w:rPr>
                <w:rFonts w:hint="eastAsia" w:ascii="宋体" w:hAnsi="宋体"/>
                <w:sz w:val="24"/>
              </w:rPr>
              <w:t>（t/8h）</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80</w:t>
            </w:r>
          </w:p>
        </w:tc>
        <w:tc>
          <w:tcPr>
            <w:tcW w:w="1470" w:type="dxa"/>
            <w:vAlign w:val="center"/>
          </w:tcPr>
          <w:p>
            <w:pPr>
              <w:jc w:val="center"/>
              <w:rPr>
                <w:rFonts w:ascii="宋体" w:hAnsi="宋体"/>
                <w:sz w:val="24"/>
              </w:rPr>
            </w:pPr>
            <w:r>
              <w:rPr>
                <w:rFonts w:hint="eastAsia" w:ascii="宋体" w:hAnsi="宋体"/>
                <w:sz w:val="24"/>
              </w:rPr>
              <w:t>理论值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压实</w:t>
            </w:r>
            <w:r>
              <w:rPr>
                <w:rFonts w:ascii="宋体" w:hAnsi="宋体"/>
                <w:sz w:val="24"/>
              </w:rPr>
              <w:t>密度</w:t>
            </w:r>
            <w:r>
              <w:rPr>
                <w:rFonts w:hint="eastAsia" w:ascii="宋体" w:hAnsi="宋体"/>
                <w:sz w:val="24"/>
              </w:rPr>
              <w:t>（</w:t>
            </w:r>
            <w:r>
              <w:rPr>
                <w:rFonts w:ascii="宋体" w:hAnsi="宋体"/>
                <w:sz w:val="24"/>
              </w:rPr>
              <w:fldChar w:fldCharType="begin"/>
            </w:r>
            <w:r>
              <w:rPr>
                <w:rFonts w:ascii="宋体" w:hAnsi="宋体"/>
                <w:sz w:val="24"/>
              </w:rPr>
              <w:instrText xml:space="preserve"> QUOTE </w:instrText>
            </w:r>
            <w:r>
              <w:rPr>
                <w:rFonts w:ascii="宋体" w:hAnsi="宋体"/>
                <w:position w:val="-8"/>
                <w:sz w:val="24"/>
              </w:rPr>
              <w:drawing>
                <wp:inline distT="0" distB="0" distL="114300" distR="114300">
                  <wp:extent cx="285750" cy="200025"/>
                  <wp:effectExtent l="0" t="0" r="0" b="762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85750" cy="200025"/>
                          </a:xfrm>
                          <a:prstGeom prst="rect">
                            <a:avLst/>
                          </a:prstGeom>
                          <a:noFill/>
                          <a:ln w="9525">
                            <a:noFill/>
                          </a:ln>
                        </pic:spPr>
                      </pic:pic>
                    </a:graphicData>
                  </a:graphic>
                </wp:inline>
              </w:drawing>
            </w:r>
            <w:r>
              <w:rPr>
                <w:rFonts w:ascii="宋体" w:hAnsi="宋体"/>
                <w:sz w:val="24"/>
              </w:rPr>
              <w:instrText xml:space="preserve"> </w:instrText>
            </w:r>
            <w:r>
              <w:rPr>
                <w:rFonts w:ascii="宋体" w:hAnsi="宋体"/>
                <w:sz w:val="24"/>
              </w:rPr>
              <w:fldChar w:fldCharType="separate"/>
            </w:r>
            <w:r>
              <w:rPr>
                <w:rFonts w:ascii="宋体" w:hAnsi="宋体"/>
                <w:position w:val="-8"/>
                <w:sz w:val="24"/>
              </w:rPr>
              <w:drawing>
                <wp:inline distT="0" distB="0" distL="114300" distR="114300">
                  <wp:extent cx="285750" cy="200025"/>
                  <wp:effectExtent l="0" t="0" r="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85750" cy="200025"/>
                          </a:xfrm>
                          <a:prstGeom prst="rect">
                            <a:avLst/>
                          </a:prstGeom>
                          <a:noFill/>
                          <a:ln w="9525">
                            <a:noFill/>
                          </a:ln>
                        </pic:spPr>
                      </pic:pic>
                    </a:graphicData>
                  </a:graphic>
                </wp:inline>
              </w:drawing>
            </w:r>
            <w:r>
              <w:rPr>
                <w:rFonts w:ascii="宋体" w:hAnsi="宋体"/>
                <w:sz w:val="24"/>
              </w:rPr>
              <w:fldChar w:fldCharType="end"/>
            </w:r>
            <w:r>
              <w:rPr>
                <w:rFonts w:hint="eastAsia" w:ascii="宋体" w:hAnsi="宋体"/>
                <w:sz w:val="24"/>
              </w:rPr>
              <w:t>）</w:t>
            </w:r>
          </w:p>
        </w:tc>
        <w:tc>
          <w:tcPr>
            <w:tcW w:w="2268" w:type="dxa"/>
            <w:vAlign w:val="center"/>
          </w:tcPr>
          <w:p>
            <w:pPr>
              <w:jc w:val="center"/>
              <w:rPr>
                <w:rFonts w:ascii="宋体" w:hAnsi="宋体"/>
                <w:sz w:val="24"/>
              </w:rPr>
            </w:pPr>
            <w:r>
              <w:rPr>
                <w:rFonts w:hint="eastAsia" w:ascii="宋体" w:hAnsi="宋体"/>
                <w:sz w:val="24"/>
              </w:rPr>
              <w:t>≥0.8</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箱体</w:t>
            </w:r>
            <w:r>
              <w:rPr>
                <w:rFonts w:ascii="宋体" w:hAnsi="宋体"/>
                <w:sz w:val="24"/>
              </w:rPr>
              <w:t>自重</w:t>
            </w:r>
            <w:r>
              <w:rPr>
                <w:rFonts w:hint="eastAsia" w:ascii="宋体" w:hAnsi="宋体"/>
                <w:sz w:val="24"/>
              </w:rPr>
              <w:t>（KG）</w:t>
            </w:r>
          </w:p>
        </w:tc>
        <w:tc>
          <w:tcPr>
            <w:tcW w:w="2268" w:type="dxa"/>
            <w:vAlign w:val="center"/>
          </w:tcPr>
          <w:p>
            <w:pPr>
              <w:jc w:val="center"/>
              <w:rPr>
                <w:rFonts w:ascii="宋体" w:hAnsi="宋体"/>
                <w:sz w:val="24"/>
              </w:rPr>
            </w:pPr>
            <w:r>
              <w:rPr>
                <w:rFonts w:hint="eastAsia" w:ascii="宋体" w:hAnsi="宋体"/>
                <w:sz w:val="24"/>
              </w:rPr>
              <w:t>≥5500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后门</w:t>
            </w:r>
            <w:r>
              <w:rPr>
                <w:rFonts w:ascii="宋体" w:hAnsi="宋体"/>
                <w:sz w:val="24"/>
              </w:rPr>
              <w:t>锁紧方式</w:t>
            </w:r>
          </w:p>
        </w:tc>
        <w:tc>
          <w:tcPr>
            <w:tcW w:w="2268" w:type="dxa"/>
            <w:vAlign w:val="center"/>
          </w:tcPr>
          <w:p>
            <w:pPr>
              <w:jc w:val="center"/>
              <w:rPr>
                <w:rFonts w:ascii="宋体" w:hAnsi="宋体"/>
                <w:sz w:val="24"/>
              </w:rPr>
            </w:pPr>
            <w:r>
              <w:rPr>
                <w:rFonts w:hint="eastAsia" w:ascii="宋体" w:hAnsi="宋体"/>
                <w:sz w:val="24"/>
              </w:rPr>
              <w:t>≥液压锁紧</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restart"/>
            <w:vAlign w:val="center"/>
          </w:tcPr>
          <w:p>
            <w:pPr>
              <w:jc w:val="center"/>
              <w:rPr>
                <w:rFonts w:ascii="宋体" w:hAnsi="宋体"/>
                <w:sz w:val="24"/>
              </w:rPr>
            </w:pPr>
            <w:r>
              <w:rPr>
                <w:rFonts w:hint="eastAsia" w:ascii="宋体" w:hAnsi="宋体"/>
                <w:sz w:val="24"/>
              </w:rPr>
              <w:t>联体动力站</w:t>
            </w:r>
            <w:r>
              <w:rPr>
                <w:rFonts w:ascii="宋体" w:hAnsi="宋体"/>
                <w:sz w:val="24"/>
              </w:rPr>
              <w:t>主要技术参数</w:t>
            </w:r>
          </w:p>
        </w:tc>
        <w:tc>
          <w:tcPr>
            <w:tcW w:w="3477" w:type="dxa"/>
            <w:vAlign w:val="center"/>
          </w:tcPr>
          <w:p>
            <w:pPr>
              <w:jc w:val="center"/>
              <w:rPr>
                <w:rFonts w:ascii="宋体" w:hAnsi="宋体"/>
                <w:sz w:val="24"/>
              </w:rPr>
            </w:pPr>
            <w:r>
              <w:rPr>
                <w:rFonts w:hint="eastAsia" w:ascii="宋体" w:hAnsi="宋体"/>
                <w:sz w:val="24"/>
              </w:rPr>
              <w:t>电动机</w:t>
            </w:r>
            <w:r>
              <w:rPr>
                <w:rFonts w:ascii="宋体" w:hAnsi="宋体"/>
                <w:sz w:val="24"/>
              </w:rPr>
              <w:t>功率</w:t>
            </w:r>
            <w:r>
              <w:rPr>
                <w:rFonts w:hint="eastAsia" w:ascii="宋体" w:hAnsi="宋体"/>
                <w:sz w:val="24"/>
              </w:rPr>
              <w:t>（Kw）</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5.5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电动机</w:t>
            </w:r>
            <w:r>
              <w:rPr>
                <w:rFonts w:ascii="宋体" w:hAnsi="宋体"/>
                <w:sz w:val="24"/>
              </w:rPr>
              <w:t>电源</w:t>
            </w:r>
            <w:r>
              <w:rPr>
                <w:rFonts w:hint="eastAsia" w:ascii="宋体" w:hAnsi="宋体"/>
                <w:sz w:val="24"/>
              </w:rPr>
              <w:t>（VAC/50Hz）</w:t>
            </w:r>
          </w:p>
        </w:tc>
        <w:tc>
          <w:tcPr>
            <w:tcW w:w="2268" w:type="dxa"/>
            <w:vAlign w:val="center"/>
          </w:tcPr>
          <w:p>
            <w:pPr>
              <w:jc w:val="center"/>
              <w:rPr>
                <w:rFonts w:ascii="宋体" w:hAnsi="宋体"/>
                <w:sz w:val="24"/>
              </w:rPr>
            </w:pPr>
            <w:r>
              <w:rPr>
                <w:rFonts w:hint="eastAsia" w:ascii="宋体" w:hAnsi="宋体"/>
                <w:sz w:val="24"/>
              </w:rPr>
              <w:t>≥380</w:t>
            </w:r>
          </w:p>
        </w:tc>
        <w:tc>
          <w:tcPr>
            <w:tcW w:w="1470" w:type="dxa"/>
            <w:vAlign w:val="center"/>
          </w:tcPr>
          <w:p>
            <w:pPr>
              <w:jc w:val="center"/>
              <w:rPr>
                <w:rFonts w:ascii="宋体" w:hAnsi="宋体"/>
                <w:sz w:val="24"/>
              </w:rPr>
            </w:pPr>
            <w:r>
              <w:rPr>
                <w:rFonts w:hint="eastAsia" w:ascii="宋体" w:hAnsi="宋体"/>
                <w:sz w:val="24"/>
              </w:rPr>
              <w:t>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泵排量（ml/r）</w:t>
            </w:r>
          </w:p>
        </w:tc>
        <w:tc>
          <w:tcPr>
            <w:tcW w:w="2268" w:type="dxa"/>
            <w:vAlign w:val="center"/>
          </w:tcPr>
          <w:p>
            <w:pPr>
              <w:jc w:val="center"/>
              <w:rPr>
                <w:rFonts w:ascii="宋体" w:hAnsi="宋体"/>
                <w:sz w:val="24"/>
              </w:rPr>
            </w:pPr>
            <w:r>
              <w:rPr>
                <w:rFonts w:hint="eastAsia" w:ascii="宋体" w:hAnsi="宋体"/>
                <w:sz w:val="24"/>
              </w:rPr>
              <w:t>≥14.1</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泵最大</w:t>
            </w:r>
            <w:r>
              <w:rPr>
                <w:rFonts w:ascii="宋体" w:hAnsi="宋体"/>
                <w:sz w:val="24"/>
              </w:rPr>
              <w:t>工作压力</w:t>
            </w:r>
            <w:r>
              <w:rPr>
                <w:rFonts w:hint="eastAsia" w:ascii="宋体" w:hAnsi="宋体"/>
                <w:sz w:val="24"/>
              </w:rPr>
              <w:t>（bar）</w:t>
            </w:r>
          </w:p>
        </w:tc>
        <w:tc>
          <w:tcPr>
            <w:tcW w:w="2268" w:type="dxa"/>
            <w:vAlign w:val="center"/>
          </w:tcPr>
          <w:p>
            <w:pPr>
              <w:jc w:val="center"/>
              <w:rPr>
                <w:rFonts w:ascii="宋体" w:hAnsi="宋体"/>
                <w:sz w:val="24"/>
              </w:rPr>
            </w:pPr>
            <w:r>
              <w:rPr>
                <w:rFonts w:hint="eastAsia" w:ascii="宋体" w:hAnsi="宋体"/>
                <w:sz w:val="24"/>
              </w:rPr>
              <w:t>≥2</w:t>
            </w:r>
            <w:r>
              <w:rPr>
                <w:rFonts w:ascii="宋体" w:hAnsi="宋体"/>
                <w:sz w:val="24"/>
              </w:rPr>
              <w:t>20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主溢流阀设定压力（bar）</w:t>
            </w:r>
          </w:p>
        </w:tc>
        <w:tc>
          <w:tcPr>
            <w:tcW w:w="2268" w:type="dxa"/>
            <w:vAlign w:val="center"/>
          </w:tcPr>
          <w:p>
            <w:pPr>
              <w:jc w:val="center"/>
              <w:rPr>
                <w:rFonts w:ascii="宋体" w:hAnsi="宋体"/>
                <w:sz w:val="24"/>
              </w:rPr>
            </w:pPr>
            <w:r>
              <w:rPr>
                <w:rFonts w:hint="eastAsia" w:ascii="宋体" w:hAnsi="宋体"/>
                <w:sz w:val="24"/>
              </w:rPr>
              <w:t>≥215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翻转</w:t>
            </w:r>
            <w:r>
              <w:rPr>
                <w:rFonts w:ascii="宋体" w:hAnsi="宋体"/>
                <w:sz w:val="24"/>
              </w:rPr>
              <w:t>溢流阀设定压力</w:t>
            </w:r>
            <w:r>
              <w:rPr>
                <w:rFonts w:hint="eastAsia" w:ascii="宋体" w:hAnsi="宋体"/>
                <w:sz w:val="24"/>
              </w:rPr>
              <w:t>（bar）</w:t>
            </w:r>
          </w:p>
        </w:tc>
        <w:tc>
          <w:tcPr>
            <w:tcW w:w="2268" w:type="dxa"/>
            <w:vAlign w:val="center"/>
          </w:tcPr>
          <w:p>
            <w:pPr>
              <w:jc w:val="center"/>
              <w:rPr>
                <w:rFonts w:ascii="宋体" w:hAnsi="宋体"/>
                <w:sz w:val="24"/>
              </w:rPr>
            </w:pPr>
            <w:r>
              <w:rPr>
                <w:rFonts w:hint="eastAsia" w:ascii="宋体" w:hAnsi="宋体"/>
                <w:sz w:val="24"/>
              </w:rPr>
              <w:t>≥200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快慢</w:t>
            </w:r>
            <w:r>
              <w:rPr>
                <w:rFonts w:ascii="宋体" w:hAnsi="宋体"/>
                <w:sz w:val="24"/>
              </w:rPr>
              <w:t>速切换压力</w:t>
            </w:r>
            <w:r>
              <w:rPr>
                <w:rFonts w:hint="eastAsia" w:ascii="宋体" w:hAnsi="宋体"/>
                <w:sz w:val="24"/>
              </w:rPr>
              <w:t>（bar）</w:t>
            </w:r>
          </w:p>
        </w:tc>
        <w:tc>
          <w:tcPr>
            <w:tcW w:w="2268" w:type="dxa"/>
            <w:vAlign w:val="center"/>
          </w:tcPr>
          <w:p>
            <w:pPr>
              <w:jc w:val="center"/>
              <w:rPr>
                <w:rFonts w:ascii="宋体" w:hAnsi="宋体"/>
                <w:sz w:val="24"/>
              </w:rPr>
            </w:pPr>
            <w:r>
              <w:rPr>
                <w:rFonts w:hint="eastAsia" w:ascii="宋体" w:hAnsi="宋体"/>
                <w:sz w:val="24"/>
              </w:rPr>
              <w:t>≥160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推铲保压</w:t>
            </w:r>
            <w:r>
              <w:rPr>
                <w:rFonts w:ascii="宋体" w:hAnsi="宋体"/>
                <w:sz w:val="24"/>
              </w:rPr>
              <w:t>压力</w:t>
            </w:r>
            <w:r>
              <w:rPr>
                <w:rFonts w:hint="eastAsia" w:ascii="宋体" w:hAnsi="宋体"/>
                <w:sz w:val="24"/>
              </w:rPr>
              <w:t>（bar）</w:t>
            </w:r>
          </w:p>
        </w:tc>
        <w:tc>
          <w:tcPr>
            <w:tcW w:w="2268" w:type="dxa"/>
            <w:vAlign w:val="center"/>
          </w:tcPr>
          <w:p>
            <w:pPr>
              <w:jc w:val="center"/>
              <w:rPr>
                <w:rFonts w:ascii="宋体" w:hAnsi="宋体"/>
                <w:sz w:val="24"/>
              </w:rPr>
            </w:pPr>
            <w:r>
              <w:rPr>
                <w:rFonts w:hint="eastAsia" w:ascii="宋体" w:hAnsi="宋体"/>
                <w:sz w:val="24"/>
              </w:rPr>
              <w:t>≥190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推铲</w:t>
            </w:r>
            <w:r>
              <w:rPr>
                <w:rFonts w:ascii="宋体" w:hAnsi="宋体"/>
                <w:sz w:val="24"/>
              </w:rPr>
              <w:t>保压时间</w:t>
            </w:r>
            <w:r>
              <w:rPr>
                <w:rFonts w:hint="eastAsia" w:ascii="宋体" w:hAnsi="宋体"/>
                <w:sz w:val="24"/>
              </w:rPr>
              <w:t>（s）</w:t>
            </w:r>
          </w:p>
        </w:tc>
        <w:tc>
          <w:tcPr>
            <w:tcW w:w="2268" w:type="dxa"/>
            <w:vAlign w:val="center"/>
          </w:tcPr>
          <w:p>
            <w:pPr>
              <w:jc w:val="center"/>
              <w:rPr>
                <w:rFonts w:ascii="宋体" w:hAnsi="宋体"/>
                <w:sz w:val="24"/>
              </w:rPr>
            </w:pPr>
            <w:r>
              <w:rPr>
                <w:rFonts w:hint="eastAsia" w:ascii="宋体" w:hAnsi="宋体"/>
                <w:sz w:val="24"/>
              </w:rPr>
              <w:t>≥2.3</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风冷器</w:t>
            </w:r>
            <w:r>
              <w:rPr>
                <w:rFonts w:ascii="宋体" w:hAnsi="宋体"/>
                <w:sz w:val="24"/>
              </w:rPr>
              <w:t>启动温度</w:t>
            </w:r>
            <w:r>
              <w:rPr>
                <w:rFonts w:hint="eastAsia" w:ascii="宋体" w:hAnsi="宋体"/>
                <w:sz w:val="24"/>
              </w:rPr>
              <w:t>（</w:t>
            </w:r>
            <w:r>
              <w:rPr>
                <w:rFonts w:ascii="宋体" w:hAnsi="宋体" w:cs="Calibri"/>
                <w:sz w:val="24"/>
              </w:rPr>
              <w:t>º</w:t>
            </w:r>
            <w:r>
              <w:rPr>
                <w:rFonts w:hint="eastAsia" w:ascii="宋体" w:hAnsi="宋体"/>
                <w:sz w:val="24"/>
              </w:rPr>
              <w:t>C）</w:t>
            </w:r>
          </w:p>
        </w:tc>
        <w:tc>
          <w:tcPr>
            <w:tcW w:w="2268" w:type="dxa"/>
            <w:vAlign w:val="center"/>
          </w:tcPr>
          <w:p>
            <w:pPr>
              <w:jc w:val="center"/>
              <w:rPr>
                <w:rFonts w:ascii="宋体" w:hAnsi="宋体"/>
                <w:sz w:val="24"/>
              </w:rPr>
            </w:pPr>
            <w:r>
              <w:rPr>
                <w:rFonts w:hint="eastAsia" w:ascii="宋体" w:hAnsi="宋体"/>
                <w:sz w:val="24"/>
              </w:rPr>
              <w:t>≥55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风冷器停止</w:t>
            </w:r>
            <w:r>
              <w:rPr>
                <w:rFonts w:ascii="宋体" w:hAnsi="宋体"/>
                <w:sz w:val="24"/>
              </w:rPr>
              <w:t>温度</w:t>
            </w:r>
            <w:r>
              <w:rPr>
                <w:rFonts w:hint="eastAsia" w:ascii="宋体" w:hAnsi="宋体"/>
                <w:sz w:val="24"/>
              </w:rPr>
              <w:t>（</w:t>
            </w:r>
            <w:r>
              <w:rPr>
                <w:rFonts w:ascii="宋体" w:hAnsi="宋体" w:cs="Calibri"/>
                <w:sz w:val="24"/>
              </w:rPr>
              <w:t>º</w:t>
            </w:r>
            <w:r>
              <w:rPr>
                <w:rFonts w:hint="eastAsia" w:ascii="宋体" w:hAnsi="宋体"/>
                <w:sz w:val="24"/>
              </w:rPr>
              <w:t>C）</w:t>
            </w:r>
          </w:p>
        </w:tc>
        <w:tc>
          <w:tcPr>
            <w:tcW w:w="2268" w:type="dxa"/>
            <w:vAlign w:val="center"/>
          </w:tcPr>
          <w:p>
            <w:pPr>
              <w:jc w:val="center"/>
              <w:rPr>
                <w:rFonts w:ascii="宋体" w:hAnsi="宋体"/>
                <w:sz w:val="24"/>
              </w:rPr>
            </w:pPr>
            <w:r>
              <w:rPr>
                <w:rFonts w:hint="eastAsia" w:ascii="宋体" w:hAnsi="宋体"/>
                <w:sz w:val="24"/>
              </w:rPr>
              <w:t>≥</w:t>
            </w:r>
            <w:r>
              <w:rPr>
                <w:rFonts w:ascii="宋体" w:hAnsi="宋体"/>
                <w:sz w:val="24"/>
              </w:rPr>
              <w:t>45</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restart"/>
            <w:vAlign w:val="center"/>
          </w:tcPr>
          <w:p>
            <w:pPr>
              <w:jc w:val="center"/>
              <w:rPr>
                <w:rFonts w:ascii="宋体" w:hAnsi="宋体"/>
                <w:sz w:val="24"/>
              </w:rPr>
            </w:pPr>
            <w:r>
              <w:rPr>
                <w:rFonts w:hint="eastAsia" w:ascii="宋体" w:hAnsi="宋体"/>
                <w:sz w:val="24"/>
              </w:rPr>
              <w:t>勾臂车</w:t>
            </w:r>
            <w:r>
              <w:rPr>
                <w:rFonts w:ascii="宋体" w:hAnsi="宋体"/>
                <w:sz w:val="24"/>
              </w:rPr>
              <w:t>尺寸</w:t>
            </w:r>
          </w:p>
        </w:tc>
        <w:tc>
          <w:tcPr>
            <w:tcW w:w="3477" w:type="dxa"/>
            <w:vAlign w:val="center"/>
          </w:tcPr>
          <w:p>
            <w:pPr>
              <w:jc w:val="center"/>
              <w:rPr>
                <w:rFonts w:ascii="宋体" w:hAnsi="宋体"/>
                <w:sz w:val="24"/>
              </w:rPr>
            </w:pPr>
            <w:r>
              <w:rPr>
                <w:rFonts w:hint="eastAsia" w:ascii="宋体" w:hAnsi="宋体"/>
                <w:sz w:val="24"/>
              </w:rPr>
              <w:t>钩心</w:t>
            </w:r>
            <w:r>
              <w:rPr>
                <w:rFonts w:ascii="宋体" w:hAnsi="宋体"/>
                <w:sz w:val="24"/>
              </w:rPr>
              <w:t>高度</w:t>
            </w:r>
            <w:r>
              <w:rPr>
                <w:rFonts w:hint="eastAsia" w:ascii="宋体" w:hAnsi="宋体"/>
                <w:sz w:val="24"/>
              </w:rPr>
              <w:t>（mm）</w:t>
            </w:r>
          </w:p>
        </w:tc>
        <w:tc>
          <w:tcPr>
            <w:tcW w:w="2268" w:type="dxa"/>
            <w:vAlign w:val="center"/>
          </w:tcPr>
          <w:p>
            <w:pPr>
              <w:jc w:val="center"/>
              <w:rPr>
                <w:rFonts w:ascii="宋体" w:hAnsi="宋体"/>
                <w:sz w:val="24"/>
              </w:rPr>
            </w:pPr>
            <w:r>
              <w:rPr>
                <w:rFonts w:hint="eastAsia" w:ascii="宋体" w:hAnsi="宋体"/>
                <w:sz w:val="24"/>
              </w:rPr>
              <w:t>≥1570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导轨</w:t>
            </w:r>
            <w:r>
              <w:rPr>
                <w:rFonts w:ascii="宋体" w:hAnsi="宋体"/>
                <w:sz w:val="24"/>
              </w:rPr>
              <w:t>外宽</w:t>
            </w:r>
            <w:r>
              <w:rPr>
                <w:rFonts w:hint="eastAsia" w:ascii="宋体" w:hAnsi="宋体"/>
                <w:sz w:val="24"/>
              </w:rPr>
              <w:t>（mm）</w:t>
            </w:r>
          </w:p>
        </w:tc>
        <w:tc>
          <w:tcPr>
            <w:tcW w:w="2268" w:type="dxa"/>
            <w:vAlign w:val="center"/>
          </w:tcPr>
          <w:p>
            <w:pPr>
              <w:jc w:val="center"/>
              <w:rPr>
                <w:rFonts w:ascii="宋体" w:hAnsi="宋体"/>
                <w:sz w:val="24"/>
              </w:rPr>
            </w:pPr>
            <w:r>
              <w:rPr>
                <w:rFonts w:hint="eastAsia" w:ascii="宋体" w:hAnsi="宋体"/>
                <w:sz w:val="24"/>
              </w:rPr>
              <w:t>≥1070</w:t>
            </w:r>
          </w:p>
        </w:tc>
        <w:tc>
          <w:tcPr>
            <w:tcW w:w="147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1" w:type="dxa"/>
            <w:vMerge w:val="continue"/>
            <w:vAlign w:val="center"/>
          </w:tcPr>
          <w:p>
            <w:pPr>
              <w:jc w:val="center"/>
              <w:rPr>
                <w:rFonts w:ascii="宋体" w:hAnsi="宋体"/>
                <w:sz w:val="24"/>
              </w:rPr>
            </w:pPr>
          </w:p>
        </w:tc>
        <w:tc>
          <w:tcPr>
            <w:tcW w:w="3477" w:type="dxa"/>
            <w:vAlign w:val="center"/>
          </w:tcPr>
          <w:p>
            <w:pPr>
              <w:jc w:val="center"/>
              <w:rPr>
                <w:rFonts w:ascii="宋体" w:hAnsi="宋体"/>
                <w:sz w:val="24"/>
              </w:rPr>
            </w:pPr>
            <w:r>
              <w:rPr>
                <w:rFonts w:hint="eastAsia" w:ascii="宋体" w:hAnsi="宋体"/>
                <w:sz w:val="24"/>
              </w:rPr>
              <w:t>防撞</w:t>
            </w:r>
            <w:r>
              <w:rPr>
                <w:rFonts w:ascii="宋体" w:hAnsi="宋体"/>
                <w:sz w:val="24"/>
              </w:rPr>
              <w:t>块</w:t>
            </w:r>
            <w:r>
              <w:rPr>
                <w:rFonts w:hint="eastAsia" w:ascii="宋体" w:hAnsi="宋体"/>
                <w:sz w:val="24"/>
              </w:rPr>
              <w:t>中心距导轨结合</w:t>
            </w:r>
            <w:r>
              <w:rPr>
                <w:rFonts w:ascii="宋体" w:hAnsi="宋体"/>
                <w:sz w:val="24"/>
              </w:rPr>
              <w:t>面（</w:t>
            </w:r>
            <w:r>
              <w:rPr>
                <w:rFonts w:hint="eastAsia" w:ascii="宋体" w:hAnsi="宋体"/>
                <w:sz w:val="24"/>
              </w:rPr>
              <w:t>mm</w:t>
            </w:r>
            <w:r>
              <w:rPr>
                <w:rFonts w:ascii="宋体" w:hAnsi="宋体"/>
                <w:sz w:val="24"/>
              </w:rPr>
              <w:t>）</w:t>
            </w:r>
          </w:p>
        </w:tc>
        <w:tc>
          <w:tcPr>
            <w:tcW w:w="2268" w:type="dxa"/>
            <w:vAlign w:val="center"/>
          </w:tcPr>
          <w:p>
            <w:pPr>
              <w:jc w:val="center"/>
              <w:rPr>
                <w:rFonts w:ascii="宋体" w:hAnsi="宋体"/>
                <w:sz w:val="24"/>
              </w:rPr>
            </w:pPr>
            <w:r>
              <w:rPr>
                <w:rFonts w:hint="eastAsia" w:ascii="宋体" w:hAnsi="宋体"/>
                <w:sz w:val="24"/>
              </w:rPr>
              <w:t>≥236</w:t>
            </w:r>
          </w:p>
        </w:tc>
        <w:tc>
          <w:tcPr>
            <w:tcW w:w="1470" w:type="dxa"/>
            <w:vAlign w:val="center"/>
          </w:tcPr>
          <w:p>
            <w:pPr>
              <w:jc w:val="center"/>
              <w:rPr>
                <w:rFonts w:ascii="宋体" w:hAnsi="宋体"/>
                <w:sz w:val="24"/>
              </w:rPr>
            </w:pPr>
          </w:p>
        </w:tc>
      </w:tr>
    </w:tbl>
    <w:p>
      <w:pPr>
        <w:rPr>
          <w:rFonts w:ascii="宋体" w:hAnsi="宋体"/>
        </w:rPr>
      </w:pPr>
    </w:p>
    <w:p>
      <w:pPr>
        <w:spacing w:line="360" w:lineRule="auto"/>
        <w:ind w:firstLine="480" w:firstLineChars="200"/>
        <w:rPr>
          <w:rFonts w:ascii="宋体" w:hAnsi="宋体"/>
          <w:sz w:val="24"/>
        </w:rPr>
      </w:pPr>
      <w:r>
        <w:rPr>
          <w:rFonts w:hint="eastAsia" w:ascii="宋体" w:hAnsi="宋体"/>
          <w:sz w:val="24"/>
        </w:rPr>
        <w:t>移动式垃圾压缩设备由箱体、后门、料斗、压缩头、联体动力站、排水系统、密封组件等组成。</w:t>
      </w:r>
    </w:p>
    <w:p>
      <w:pPr>
        <w:spacing w:line="360" w:lineRule="auto"/>
        <w:ind w:firstLine="480" w:firstLineChars="200"/>
        <w:rPr>
          <w:rFonts w:ascii="宋体" w:hAnsi="宋体"/>
          <w:sz w:val="24"/>
        </w:rPr>
      </w:pPr>
      <w:r>
        <w:rPr>
          <w:rFonts w:hint="eastAsia" w:ascii="宋体" w:hAnsi="宋体"/>
          <w:sz w:val="24"/>
        </w:rPr>
        <w:t>箱体由压缩腔和存储腔组成，压缩腔用于安装水平式压缩推铲机构、存储腔用于存储压缩密实的垃圾。压缩推铲机构推头采用具有垃圾压缩与破碎功能的双曲线形压缩头（具有剪刀效应），推力高达34吨，垃圾压实密度最高可达0.8T/m3，更容易将垃圾压入箱体内，可有效提高垃圾破碎效率。且压缩腔设置有防垃圾回弹结构，防止压紧的垃圾回弹。</w:t>
      </w:r>
    </w:p>
    <w:p>
      <w:pPr>
        <w:spacing w:line="360" w:lineRule="auto"/>
        <w:ind w:firstLine="480" w:firstLineChars="200"/>
        <w:rPr>
          <w:rFonts w:ascii="宋体" w:hAnsi="宋体"/>
          <w:sz w:val="24"/>
        </w:rPr>
      </w:pPr>
      <w:r>
        <w:rPr>
          <w:rFonts w:hint="eastAsia" w:ascii="宋体" w:hAnsi="宋体"/>
          <w:sz w:val="24"/>
        </w:rPr>
        <w:t>后门采用特有的C型结构，有利于垃圾在存储箱内翻转填充整个箱体。后门锁紧依靠液压缸锁紧，通过下车液压控制，更加有利于操作人员操作。</w:t>
      </w:r>
    </w:p>
    <w:p>
      <w:pPr>
        <w:spacing w:line="360" w:lineRule="auto"/>
        <w:ind w:firstLine="480" w:firstLineChars="200"/>
        <w:rPr>
          <w:rFonts w:ascii="宋体" w:hAnsi="宋体"/>
          <w:sz w:val="24"/>
        </w:rPr>
      </w:pPr>
      <w:r>
        <w:rPr>
          <w:rFonts w:hint="eastAsia" w:ascii="宋体" w:hAnsi="宋体"/>
          <w:sz w:val="24"/>
        </w:rPr>
        <w:t>料斗投料口面积大，完全敞口，无隔栅阻档，垃圾更易投入；翻斗机构采用双油缸、四杆机构，运行平稳，垃圾倾倒干净。</w:t>
      </w:r>
    </w:p>
    <w:p>
      <w:pPr>
        <w:spacing w:line="360" w:lineRule="auto"/>
        <w:ind w:firstLine="480" w:firstLineChars="200"/>
        <w:rPr>
          <w:rFonts w:ascii="宋体" w:hAnsi="宋体"/>
          <w:sz w:val="24"/>
        </w:rPr>
      </w:pPr>
      <w:r>
        <w:rPr>
          <w:rFonts w:hint="eastAsia" w:ascii="宋体" w:hAnsi="宋体"/>
          <w:sz w:val="24"/>
        </w:rPr>
        <w:t>联体动力站是一个集成式的液、电控制系统，采用微处理器（PLC）控制原理，具有箱满报警、液位报警及显示、相序保护、自动散热、故障自诊断和显示、触摸操作及显示等功能。液压、电气元件采用阿托斯、凯斯帕、海德福斯、施耐德、西门子、正泰等国内外知名品牌，系统性能稳定可靠。</w:t>
      </w:r>
    </w:p>
    <w:p>
      <w:pPr>
        <w:spacing w:line="360" w:lineRule="auto"/>
        <w:ind w:firstLine="480" w:firstLineChars="200"/>
        <w:rPr>
          <w:rFonts w:ascii="宋体" w:hAnsi="宋体"/>
          <w:sz w:val="24"/>
        </w:rPr>
      </w:pPr>
      <w:r>
        <w:rPr>
          <w:rFonts w:hint="eastAsia" w:ascii="宋体" w:hAnsi="宋体"/>
          <w:sz w:val="24"/>
        </w:rPr>
        <w:t>后门采用三线式Ω型密封胶条密封，关闭后门，箱体做水密封性试验，30分钟内无渗漏。</w:t>
      </w:r>
    </w:p>
    <w:p>
      <w:pPr>
        <w:spacing w:line="360" w:lineRule="auto"/>
        <w:ind w:firstLine="480" w:firstLineChars="200"/>
        <w:rPr>
          <w:rFonts w:ascii="宋体" w:hAnsi="宋体"/>
          <w:sz w:val="24"/>
        </w:rPr>
      </w:pPr>
      <w:r>
        <w:rPr>
          <w:rFonts w:hint="eastAsia" w:ascii="宋体" w:hAnsi="宋体"/>
          <w:sz w:val="24"/>
        </w:rPr>
        <w:t>压缩腔前部左右两侧及存储腔前部各设置一个污水排放装置，方便压缩后的污水能通过消防管路排到城市下水道内。</w:t>
      </w:r>
    </w:p>
    <w:p>
      <w:pPr>
        <w:spacing w:line="440" w:lineRule="exact"/>
        <w:rPr>
          <w:rFonts w:ascii="宋体" w:hAnsi="宋体" w:cs="宋体"/>
          <w:b/>
          <w:sz w:val="24"/>
          <w:szCs w:val="24"/>
        </w:rPr>
      </w:pPr>
      <w:r>
        <w:rPr>
          <w:rFonts w:hint="eastAsia" w:ascii="宋体" w:hAnsi="宋体" w:cs="宋体"/>
          <w:b/>
          <w:sz w:val="24"/>
          <w:szCs w:val="24"/>
          <w:highlight w:val="yellow"/>
        </w:rPr>
        <w:t>注：所投报价含车辆保险（交强险、三者）、挂牌、购置税等。</w:t>
      </w:r>
    </w:p>
    <w:p>
      <w:pPr>
        <w:spacing w:line="440" w:lineRule="exact"/>
        <w:rPr>
          <w:rFonts w:ascii="宋体" w:hAnsi="宋体" w:cs="宋体"/>
          <w:sz w:val="24"/>
          <w:szCs w:val="24"/>
        </w:rPr>
      </w:pPr>
    </w:p>
    <w:p>
      <w:bookmarkStart w:id="1" w:name="_GoBack"/>
      <w:bookmarkEnd w:id="1"/>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520B9"/>
    <w:rsid w:val="03F520B9"/>
    <w:rsid w:val="16437431"/>
    <w:rsid w:val="6696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jc w:val="left"/>
      <w:outlineLvl w:val="0"/>
    </w:pPr>
    <w:rPr>
      <w:rFonts w:hint="eastAsia" w:ascii="宋体" w:hAnsi="宋体"/>
      <w:b/>
      <w:kern w:val="44"/>
      <w:sz w:val="42"/>
      <w:szCs w:val="4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Emphasis"/>
    <w:qFormat/>
    <w:uiPriority w:val="20"/>
    <w:rPr>
      <w:i/>
      <w:iCs/>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2018-08-21T04:05:00Z</dcterms:created>
  <dc:creator>Administrator</dc:creator>
  <cp:lastModifiedBy>Administrator</cp:lastModifiedBy>
  <cp:lastPrinted>2018-08-21T04:08:18Z</cp:lastPrinted>
  <dcterms:modified xsi:type="dcterms:W3CDTF">2018-08-21T04:10:06Z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