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44"/>
          <w:szCs w:val="44"/>
        </w:rPr>
      </w:pPr>
      <w:r>
        <w:rPr>
          <w:rFonts w:hint="eastAsia"/>
          <w:b/>
          <w:sz w:val="44"/>
          <w:szCs w:val="44"/>
        </w:rPr>
        <w:t>方城县农村垃圾中转站设备及运输车辆购置项目</w:t>
      </w: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36"/>
          <w:szCs w:val="36"/>
        </w:rPr>
      </w:pPr>
      <w:r>
        <w:rPr>
          <w:rFonts w:ascii="Arial" w:hAnsi="Arial" w:cs="Arial"/>
          <w:b/>
          <w:kern w:val="36"/>
          <w:sz w:val="36"/>
          <w:szCs w:val="36"/>
        </w:rPr>
        <w:t>(</w:t>
      </w:r>
      <w:r>
        <w:rPr>
          <w:rFonts w:hint="eastAsia" w:ascii="Arial" w:hAnsi="Arial" w:cs="Arial"/>
          <w:b/>
          <w:kern w:val="36"/>
          <w:sz w:val="36"/>
          <w:szCs w:val="36"/>
        </w:rPr>
        <w:t>第1标段</w:t>
      </w:r>
      <w:r>
        <w:rPr>
          <w:rFonts w:ascii="Arial" w:hAnsi="Arial" w:cs="Arial"/>
          <w:b/>
          <w:kern w:val="36"/>
          <w:sz w:val="36"/>
          <w:szCs w:val="36"/>
        </w:rPr>
        <w:t>)</w:t>
      </w:r>
    </w:p>
    <w:p>
      <w:pPr>
        <w:spacing w:line="480" w:lineRule="auto"/>
        <w:jc w:val="center"/>
        <w:rPr>
          <w:rFonts w:ascii="Arial" w:hAnsi="Arial" w:cs="Arial"/>
          <w:b/>
          <w:kern w:val="36"/>
          <w:sz w:val="44"/>
          <w:szCs w:val="44"/>
        </w:rPr>
      </w:pPr>
    </w:p>
    <w:p>
      <w:pPr>
        <w:widowControl/>
        <w:spacing w:line="360" w:lineRule="auto"/>
        <w:ind w:left="0" w:leftChars="0" w:firstLine="0" w:firstLineChars="0"/>
        <w:jc w:val="center"/>
        <w:rPr>
          <w:rFonts w:hint="eastAsia" w:ascii="楷体_GB2312" w:eastAsia="宋体"/>
          <w:color w:val="FF0000"/>
          <w:kern w:val="0"/>
          <w:sz w:val="84"/>
          <w:szCs w:val="84"/>
          <w:lang w:eastAsia="zh-CN"/>
        </w:rPr>
      </w:pPr>
      <w:r>
        <w:rPr>
          <w:rFonts w:hint="eastAsia" w:ascii="宋体" w:hAnsi="宋体" w:cs="宋体"/>
          <w:b/>
          <w:bCs/>
          <w:kern w:val="0"/>
          <w:sz w:val="84"/>
          <w:szCs w:val="84"/>
          <w:lang w:eastAsia="zh-CN"/>
        </w:rPr>
        <w:t>技术参数和要求</w:t>
      </w:r>
    </w:p>
    <w:p>
      <w:pPr>
        <w:jc w:val="center"/>
        <w:rPr>
          <w:rFonts w:ascii="宋体" w:hAnsi="宋体"/>
          <w:b/>
          <w:kern w:val="0"/>
          <w:sz w:val="30"/>
          <w:szCs w:val="30"/>
        </w:rPr>
      </w:pPr>
    </w:p>
    <w:p>
      <w:pPr>
        <w:autoSpaceDE w:val="0"/>
        <w:autoSpaceDN w:val="0"/>
        <w:adjustRightInd w:val="0"/>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pStyle w:val="9"/>
        <w:spacing w:line="900" w:lineRule="exact"/>
        <w:jc w:val="both"/>
        <w:rPr>
          <w:rFonts w:hint="eastAsia" w:hAnsi="宋体" w:cs="黑体"/>
          <w:b/>
          <w:color w:val="auto"/>
          <w:sz w:val="30"/>
          <w:szCs w:val="32"/>
        </w:rPr>
      </w:pPr>
      <w:r>
        <w:rPr>
          <w:rFonts w:hint="eastAsia" w:hAnsi="宋体" w:cs="黑体"/>
          <w:b/>
          <w:color w:val="auto"/>
          <w:sz w:val="30"/>
          <w:szCs w:val="32"/>
        </w:rPr>
        <w:t xml:space="preserve">       </w:t>
      </w:r>
    </w:p>
    <w:p>
      <w:pPr>
        <w:pStyle w:val="9"/>
        <w:spacing w:line="900" w:lineRule="exact"/>
        <w:jc w:val="both"/>
        <w:rPr>
          <w:rFonts w:hint="eastAsia" w:hAnsi="宋体" w:cs="黑体"/>
          <w:b/>
          <w:color w:val="auto"/>
          <w:sz w:val="30"/>
          <w:szCs w:val="32"/>
        </w:rPr>
      </w:pP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 xml:space="preserve"> 采 购 人：</w:t>
      </w:r>
      <w:r>
        <w:rPr>
          <w:rFonts w:hint="eastAsia" w:hAnsi="宋体"/>
          <w:b/>
          <w:bCs/>
          <w:sz w:val="32"/>
          <w:szCs w:val="32"/>
        </w:rPr>
        <w:t>方城县环境卫生管理局</w:t>
      </w: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代理机构：正大鹏安建设项目管理有限公司</w:t>
      </w: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日    期：二零一八年八月</w:t>
      </w:r>
    </w:p>
    <w:p>
      <w:pPr>
        <w:pStyle w:val="2"/>
        <w:jc w:val="cente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jc w:val="center"/>
        <w:rPr>
          <w:rFonts w:hint="default"/>
        </w:rPr>
      </w:pPr>
      <w:r>
        <w:t>规格和要求</w:t>
      </w:r>
    </w:p>
    <w:p>
      <w:pPr>
        <w:spacing w:line="440" w:lineRule="exact"/>
        <w:jc w:val="left"/>
        <w:rPr>
          <w:rFonts w:ascii="宋体" w:hAnsi="宋体" w:cs="宋体"/>
          <w:b/>
          <w:bCs/>
          <w:sz w:val="24"/>
          <w:szCs w:val="24"/>
        </w:rPr>
      </w:pPr>
      <w:r>
        <w:rPr>
          <w:rFonts w:hint="eastAsia" w:ascii="宋体" w:hAnsi="宋体" w:cs="宋体"/>
          <w:b/>
          <w:bCs/>
          <w:sz w:val="24"/>
          <w:szCs w:val="24"/>
        </w:rPr>
        <w:t>一、说明</w:t>
      </w:r>
    </w:p>
    <w:p>
      <w:pPr>
        <w:spacing w:line="440" w:lineRule="exact"/>
        <w:jc w:val="left"/>
        <w:rPr>
          <w:rFonts w:ascii="宋体" w:hAnsi="宋体" w:cs="宋体"/>
          <w:sz w:val="24"/>
          <w:szCs w:val="24"/>
        </w:rPr>
      </w:pPr>
      <w:r>
        <w:rPr>
          <w:rFonts w:hint="eastAsia" w:ascii="宋体" w:hAnsi="宋体" w:cs="宋体"/>
          <w:sz w:val="24"/>
          <w:szCs w:val="24"/>
        </w:rPr>
        <w:t>1.本章所述技术规格及要求是采购人提供的最低限度的技术要求，并未对一切技术细节做出规定，也未充分引述有关标准和规范的条文，供应商应保证提供符合本技术规格及要求和有关标准的优质产品。</w:t>
      </w:r>
    </w:p>
    <w:p>
      <w:pPr>
        <w:spacing w:line="440" w:lineRule="exact"/>
        <w:jc w:val="left"/>
        <w:rPr>
          <w:rFonts w:ascii="宋体" w:hAnsi="宋体" w:cs="宋体"/>
          <w:sz w:val="24"/>
          <w:szCs w:val="24"/>
        </w:rPr>
      </w:pPr>
      <w:r>
        <w:rPr>
          <w:rFonts w:hint="eastAsia" w:ascii="宋体" w:hAnsi="宋体" w:cs="宋体"/>
          <w:sz w:val="24"/>
          <w:szCs w:val="24"/>
        </w:rPr>
        <w:t>2.本技术规格及要求所使用的标准和规范如与供应商所执行的标准发生矛盾时，按较高标准执行。</w:t>
      </w:r>
    </w:p>
    <w:p>
      <w:pPr>
        <w:spacing w:line="440" w:lineRule="exact"/>
        <w:jc w:val="left"/>
        <w:rPr>
          <w:rFonts w:ascii="宋体" w:hAnsi="宋体" w:cs="宋体"/>
          <w:sz w:val="24"/>
          <w:szCs w:val="24"/>
        </w:rPr>
      </w:pPr>
      <w:r>
        <w:rPr>
          <w:rFonts w:hint="eastAsia" w:ascii="宋体" w:hAnsi="宋体" w:cs="宋体"/>
          <w:sz w:val="24"/>
          <w:szCs w:val="24"/>
        </w:rPr>
        <w:t>3.采购人保留在签订合同前，对本技术规格及要求补充和修改的权利，供应商应承诺予以配合，如提出修改，具体事项由中标人与采购人另行商定。</w:t>
      </w:r>
    </w:p>
    <w:p>
      <w:pPr>
        <w:spacing w:line="440" w:lineRule="exact"/>
        <w:jc w:val="left"/>
        <w:rPr>
          <w:rFonts w:ascii="宋体" w:hAnsi="宋体" w:cs="宋体"/>
          <w:sz w:val="24"/>
          <w:szCs w:val="24"/>
        </w:rPr>
      </w:pPr>
      <w:r>
        <w:rPr>
          <w:rFonts w:hint="eastAsia" w:ascii="宋体" w:hAnsi="宋体" w:cs="宋体"/>
          <w:sz w:val="24"/>
          <w:szCs w:val="24"/>
        </w:rPr>
        <w:t>4.供应商所提供的货物，如若发生侵犯知识产权的行为时，其侵权责任与采购人无关，应由供应商承担相应的责任，并不得损害采购人的利益。</w:t>
      </w:r>
    </w:p>
    <w:p>
      <w:pPr>
        <w:spacing w:line="440" w:lineRule="exact"/>
        <w:jc w:val="left"/>
        <w:rPr>
          <w:rFonts w:ascii="宋体" w:hAnsi="宋体" w:cs="宋体"/>
          <w:b/>
          <w:bCs/>
          <w:sz w:val="24"/>
          <w:szCs w:val="24"/>
        </w:rPr>
      </w:pPr>
      <w:r>
        <w:rPr>
          <w:rFonts w:hint="eastAsia" w:ascii="宋体" w:hAnsi="宋体" w:cs="宋体"/>
          <w:b/>
          <w:bCs/>
          <w:sz w:val="24"/>
          <w:szCs w:val="24"/>
        </w:rPr>
        <w:t>二、所遵循的标准和质量保证</w:t>
      </w:r>
    </w:p>
    <w:p>
      <w:pPr>
        <w:spacing w:line="440" w:lineRule="exact"/>
        <w:jc w:val="left"/>
        <w:rPr>
          <w:rFonts w:ascii="宋体" w:hAnsi="宋体" w:cs="宋体"/>
          <w:sz w:val="24"/>
          <w:szCs w:val="24"/>
        </w:rPr>
      </w:pPr>
      <w:r>
        <w:rPr>
          <w:rFonts w:hint="eastAsia" w:ascii="宋体" w:hAnsi="宋体" w:cs="宋体"/>
          <w:sz w:val="24"/>
          <w:szCs w:val="24"/>
        </w:rPr>
        <w:t>1.供应商提供的所有货物，其制造商应有完善的质量检测手段和质量保证体系，产品符合国家标准和行业标准。</w:t>
      </w:r>
    </w:p>
    <w:p>
      <w:pPr>
        <w:spacing w:line="440" w:lineRule="exact"/>
        <w:jc w:val="left"/>
        <w:rPr>
          <w:rFonts w:ascii="宋体" w:hAnsi="宋体" w:cs="宋体"/>
          <w:sz w:val="24"/>
          <w:szCs w:val="24"/>
        </w:rPr>
      </w:pPr>
      <w:r>
        <w:rPr>
          <w:rFonts w:hint="eastAsia" w:ascii="宋体" w:hAnsi="宋体" w:cs="宋体"/>
          <w:sz w:val="24"/>
          <w:szCs w:val="24"/>
        </w:rPr>
        <w:t>2.供应商提供的所有技术文件中的技术指标均应使用相应的国际先进标准、中国国家标准、各行业的相应标准、国际标准化组织标准。</w:t>
      </w:r>
    </w:p>
    <w:p>
      <w:pPr>
        <w:spacing w:line="440" w:lineRule="exact"/>
        <w:jc w:val="left"/>
        <w:rPr>
          <w:rFonts w:ascii="宋体" w:hAnsi="宋体" w:cs="宋体"/>
          <w:sz w:val="24"/>
          <w:szCs w:val="24"/>
        </w:rPr>
      </w:pPr>
      <w:r>
        <w:rPr>
          <w:rFonts w:hint="eastAsia" w:ascii="宋体" w:hAnsi="宋体" w:cs="宋体"/>
          <w:sz w:val="24"/>
          <w:szCs w:val="24"/>
        </w:rPr>
        <w:t>3.供应商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440" w:lineRule="exact"/>
        <w:jc w:val="left"/>
        <w:rPr>
          <w:rFonts w:ascii="宋体" w:hAnsi="宋体" w:cs="宋体"/>
          <w:sz w:val="24"/>
          <w:szCs w:val="24"/>
        </w:rPr>
      </w:pPr>
      <w:r>
        <w:rPr>
          <w:rFonts w:hint="eastAsia" w:ascii="宋体" w:hAnsi="宋体" w:cs="宋体"/>
          <w:sz w:val="24"/>
          <w:szCs w:val="24"/>
        </w:rPr>
        <w:t>4.供应商提供货物所使用的度量衡单位除技术规格中另有规定外，应统一用法定计量单位。</w:t>
      </w:r>
    </w:p>
    <w:p>
      <w:pPr>
        <w:spacing w:line="440" w:lineRule="exact"/>
        <w:rPr>
          <w:rFonts w:ascii="宋体" w:hAnsi="宋体" w:cs="宋体"/>
          <w:b/>
          <w:bCs/>
          <w:sz w:val="24"/>
          <w:szCs w:val="24"/>
        </w:rPr>
      </w:pPr>
      <w:r>
        <w:rPr>
          <w:rFonts w:hint="eastAsia" w:ascii="宋体" w:hAnsi="宋体" w:cs="宋体"/>
          <w:b/>
          <w:bCs/>
          <w:sz w:val="24"/>
          <w:szCs w:val="24"/>
        </w:rPr>
        <w:t>三、各标段项目需求及技术参数要求</w:t>
      </w:r>
    </w:p>
    <w:p>
      <w:pPr>
        <w:spacing w:line="440" w:lineRule="exact"/>
        <w:rPr>
          <w:rFonts w:ascii="宋体" w:hAnsi="宋体" w:cs="宋体"/>
          <w:b/>
          <w:bCs/>
          <w:sz w:val="24"/>
          <w:szCs w:val="24"/>
        </w:rPr>
      </w:pPr>
    </w:p>
    <w:p>
      <w:pPr>
        <w:spacing w:line="440" w:lineRule="exact"/>
        <w:ind w:firstLine="964" w:firstLineChars="400"/>
        <w:rPr>
          <w:rFonts w:ascii="宋体" w:hAnsi="宋体" w:cs="宋体"/>
          <w:b/>
          <w:bCs/>
          <w:color w:val="FF0000"/>
          <w:sz w:val="24"/>
          <w:szCs w:val="24"/>
        </w:rPr>
      </w:pPr>
      <w:r>
        <w:rPr>
          <w:rFonts w:hint="eastAsia" w:ascii="宋体" w:hAnsi="宋体" w:cs="宋体"/>
          <w:b/>
          <w:bCs/>
          <w:color w:val="FF0000"/>
          <w:sz w:val="24"/>
          <w:szCs w:val="24"/>
        </w:rPr>
        <w:t>（本标段设备清单及参数附后）</w:t>
      </w:r>
    </w:p>
    <w:p>
      <w:pPr>
        <w:spacing w:line="440" w:lineRule="exact"/>
        <w:ind w:firstLine="964" w:firstLineChars="400"/>
        <w:rPr>
          <w:rFonts w:ascii="宋体" w:hAnsi="宋体" w:cs="宋体"/>
          <w:b/>
          <w:bCs/>
          <w:color w:val="FF0000"/>
          <w:sz w:val="24"/>
          <w:szCs w:val="24"/>
        </w:rPr>
      </w:pPr>
    </w:p>
    <w:p>
      <w:pPr>
        <w:spacing w:line="440" w:lineRule="exact"/>
        <w:jc w:val="left"/>
        <w:rPr>
          <w:rFonts w:ascii="宋体" w:hAnsi="宋体" w:cs="宋体"/>
          <w:b/>
          <w:bCs/>
          <w:sz w:val="24"/>
          <w:szCs w:val="24"/>
        </w:rPr>
      </w:pPr>
      <w:r>
        <w:rPr>
          <w:rFonts w:hint="eastAsia" w:ascii="宋体" w:hAnsi="宋体" w:cs="宋体"/>
          <w:b/>
          <w:bCs/>
          <w:sz w:val="24"/>
          <w:szCs w:val="24"/>
        </w:rPr>
        <w:t>四、技术服务</w:t>
      </w:r>
    </w:p>
    <w:p>
      <w:pPr>
        <w:spacing w:line="440" w:lineRule="exact"/>
        <w:jc w:val="left"/>
        <w:rPr>
          <w:rFonts w:ascii="宋体" w:hAnsi="宋体" w:cs="宋体"/>
          <w:sz w:val="24"/>
          <w:szCs w:val="24"/>
        </w:rPr>
      </w:pPr>
      <w:r>
        <w:rPr>
          <w:rFonts w:hint="eastAsia" w:ascii="宋体" w:hAnsi="宋体" w:cs="宋体"/>
          <w:sz w:val="24"/>
          <w:szCs w:val="24"/>
        </w:rPr>
        <w:t>4.1 乙方应派出合格的有经验的技术人员现场试验等进行技术服务指导，并对后期使用和保存的正确性负责。</w:t>
      </w:r>
    </w:p>
    <w:p>
      <w:pPr>
        <w:spacing w:line="440" w:lineRule="exact"/>
        <w:jc w:val="left"/>
        <w:rPr>
          <w:rFonts w:ascii="宋体" w:hAnsi="宋体" w:cs="宋体"/>
          <w:sz w:val="24"/>
          <w:szCs w:val="24"/>
        </w:rPr>
      </w:pPr>
      <w:r>
        <w:rPr>
          <w:rFonts w:hint="eastAsia" w:ascii="宋体" w:hAnsi="宋体" w:cs="宋体"/>
          <w:sz w:val="24"/>
          <w:szCs w:val="24"/>
        </w:rPr>
        <w:t>4.2 乙方的技术人员应对甲方人员详细的解释技术文件和维护，原理，技术，操作规程，使用注意事项等方面合同范围内提出的有关问题，并对使用和维护人员进行免费培训。</w:t>
      </w:r>
      <w:bookmarkStart w:id="3" w:name="_GoBack"/>
      <w:bookmarkEnd w:id="3"/>
    </w:p>
    <w:p>
      <w:pPr>
        <w:spacing w:line="440" w:lineRule="exact"/>
        <w:jc w:val="left"/>
        <w:rPr>
          <w:rFonts w:hint="eastAsia" w:ascii="宋体" w:hAnsi="宋体" w:cs="宋体"/>
          <w:sz w:val="24"/>
          <w:szCs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jc w:val="left"/>
        <w:rPr>
          <w:rFonts w:ascii="宋体" w:hAnsi="宋体" w:cs="宋体"/>
          <w:sz w:val="24"/>
          <w:szCs w:val="24"/>
        </w:rPr>
      </w:pPr>
      <w:r>
        <w:rPr>
          <w:rFonts w:hint="eastAsia" w:ascii="宋体" w:hAnsi="宋体" w:cs="宋体"/>
          <w:sz w:val="24"/>
          <w:szCs w:val="24"/>
        </w:rPr>
        <w:t>4.3 乙方提供的产品的规格、数量有变化时，应及时书面提供给甲方。</w:t>
      </w:r>
    </w:p>
    <w:p>
      <w:pPr>
        <w:spacing w:line="440" w:lineRule="exact"/>
        <w:jc w:val="left"/>
        <w:rPr>
          <w:rFonts w:ascii="宋体" w:hAnsi="宋体" w:cs="宋体"/>
          <w:sz w:val="24"/>
          <w:szCs w:val="24"/>
        </w:rPr>
      </w:pPr>
      <w:r>
        <w:rPr>
          <w:rFonts w:hint="eastAsia" w:ascii="宋体" w:hAnsi="宋体" w:cs="宋体"/>
          <w:sz w:val="24"/>
          <w:szCs w:val="24"/>
        </w:rPr>
        <w:t>4.4 乙方技术人员应在三日内为甲方解决产品出现的一切问题。</w:t>
      </w:r>
    </w:p>
    <w:p>
      <w:pPr>
        <w:spacing w:line="440" w:lineRule="exact"/>
        <w:jc w:val="left"/>
        <w:rPr>
          <w:rFonts w:ascii="宋体" w:hAnsi="宋体" w:cs="宋体"/>
          <w:sz w:val="24"/>
          <w:szCs w:val="24"/>
        </w:rPr>
      </w:pPr>
      <w:r>
        <w:rPr>
          <w:rFonts w:hint="eastAsia" w:ascii="宋体" w:hAnsi="宋体" w:cs="宋体"/>
          <w:sz w:val="24"/>
          <w:szCs w:val="24"/>
        </w:rPr>
        <w:t>4.5 免费提供人员培训</w:t>
      </w:r>
    </w:p>
    <w:p>
      <w:pPr>
        <w:spacing w:line="440" w:lineRule="exact"/>
        <w:jc w:val="left"/>
        <w:rPr>
          <w:rFonts w:ascii="宋体" w:hAnsi="宋体" w:cs="宋体"/>
          <w:sz w:val="24"/>
          <w:szCs w:val="24"/>
        </w:rPr>
      </w:pPr>
      <w:r>
        <w:rPr>
          <w:rFonts w:hint="eastAsia" w:ascii="宋体" w:hAnsi="宋体" w:cs="宋体"/>
          <w:sz w:val="24"/>
          <w:szCs w:val="24"/>
        </w:rPr>
        <w:t>4.6 对于甲方提出的技术问题，供方提供24 小时电话服务，解决甲方遇到的实际问题。</w:t>
      </w:r>
    </w:p>
    <w:p>
      <w:pPr>
        <w:spacing w:line="440" w:lineRule="exact"/>
        <w:jc w:val="left"/>
        <w:rPr>
          <w:rFonts w:ascii="宋体" w:hAnsi="宋体" w:cs="宋体"/>
          <w:b/>
          <w:bCs/>
          <w:sz w:val="24"/>
          <w:szCs w:val="24"/>
        </w:rPr>
      </w:pPr>
      <w:r>
        <w:rPr>
          <w:rFonts w:hint="eastAsia" w:ascii="宋体" w:hAnsi="宋体" w:cs="宋体"/>
          <w:b/>
          <w:bCs/>
          <w:sz w:val="24"/>
          <w:szCs w:val="24"/>
        </w:rPr>
        <w:t>五、验收</w:t>
      </w:r>
    </w:p>
    <w:p>
      <w:pPr>
        <w:spacing w:line="440" w:lineRule="exact"/>
        <w:jc w:val="left"/>
        <w:rPr>
          <w:rFonts w:ascii="宋体" w:hAnsi="宋体" w:cs="宋体"/>
          <w:sz w:val="24"/>
          <w:szCs w:val="24"/>
        </w:rPr>
      </w:pPr>
      <w:r>
        <w:rPr>
          <w:rFonts w:hint="eastAsia" w:ascii="宋体" w:hAnsi="宋体" w:cs="宋体"/>
          <w:sz w:val="24"/>
          <w:szCs w:val="24"/>
        </w:rPr>
        <w:t>5.1 由甲方负责验收。交货地点： 招标人指定地点。</w:t>
      </w:r>
    </w:p>
    <w:p>
      <w:pPr>
        <w:spacing w:line="440" w:lineRule="exact"/>
        <w:jc w:val="left"/>
        <w:rPr>
          <w:rFonts w:ascii="宋体" w:hAnsi="宋体" w:cs="宋体"/>
          <w:sz w:val="24"/>
          <w:szCs w:val="24"/>
        </w:rPr>
      </w:pPr>
      <w:r>
        <w:rPr>
          <w:rFonts w:hint="eastAsia" w:ascii="宋体" w:hAnsi="宋体" w:cs="宋体"/>
          <w:sz w:val="24"/>
          <w:szCs w:val="24"/>
        </w:rPr>
        <w:t>5.2 验收以国家行业现行标准为依据，必须符合产品质量标准要求，满足招标文件技术指标。验收所发生的检定（校准）费用由乙方承担。</w:t>
      </w:r>
    </w:p>
    <w:p>
      <w:pPr>
        <w:spacing w:line="440" w:lineRule="exact"/>
        <w:jc w:val="left"/>
        <w:rPr>
          <w:rFonts w:ascii="宋体" w:hAnsi="宋体" w:cs="宋体"/>
          <w:b/>
          <w:bCs/>
          <w:sz w:val="24"/>
          <w:szCs w:val="24"/>
        </w:rPr>
      </w:pPr>
      <w:r>
        <w:rPr>
          <w:rFonts w:hint="eastAsia" w:ascii="宋体" w:hAnsi="宋体" w:cs="宋体"/>
          <w:b/>
          <w:bCs/>
          <w:sz w:val="24"/>
          <w:szCs w:val="24"/>
        </w:rPr>
        <w:t>六、包装、运输和贮存</w:t>
      </w:r>
    </w:p>
    <w:p>
      <w:pPr>
        <w:spacing w:line="440" w:lineRule="exact"/>
        <w:jc w:val="left"/>
        <w:rPr>
          <w:rFonts w:ascii="宋体" w:hAnsi="宋体" w:cs="宋体"/>
          <w:sz w:val="24"/>
          <w:szCs w:val="24"/>
        </w:rPr>
      </w:pPr>
      <w:r>
        <w:rPr>
          <w:rFonts w:hint="eastAsia" w:ascii="宋体" w:hAnsi="宋体" w:cs="宋体"/>
          <w:sz w:val="24"/>
          <w:szCs w:val="24"/>
        </w:rPr>
        <w:t>6.1 包装，确保其不受污损。</w:t>
      </w:r>
    </w:p>
    <w:p>
      <w:pPr>
        <w:spacing w:line="440" w:lineRule="exact"/>
        <w:jc w:val="left"/>
        <w:rPr>
          <w:rFonts w:ascii="宋体" w:hAnsi="宋体" w:cs="宋体"/>
          <w:sz w:val="24"/>
          <w:szCs w:val="24"/>
        </w:rPr>
      </w:pPr>
      <w:r>
        <w:rPr>
          <w:rFonts w:hint="eastAsia" w:ascii="宋体" w:hAnsi="宋体" w:cs="宋体"/>
          <w:sz w:val="24"/>
          <w:szCs w:val="24"/>
        </w:rPr>
        <w:t>6.2 在运输过程中应采取其它防护措施，以免散失损坏或被盗。</w:t>
      </w:r>
    </w:p>
    <w:p>
      <w:pPr>
        <w:spacing w:line="440" w:lineRule="exact"/>
        <w:jc w:val="left"/>
        <w:rPr>
          <w:rFonts w:ascii="宋体" w:hAnsi="宋体" w:cs="宋体"/>
          <w:sz w:val="24"/>
          <w:szCs w:val="24"/>
        </w:rPr>
      </w:pPr>
      <w:r>
        <w:rPr>
          <w:rFonts w:hint="eastAsia" w:ascii="宋体" w:hAnsi="宋体" w:cs="宋体"/>
          <w:sz w:val="24"/>
          <w:szCs w:val="24"/>
        </w:rPr>
        <w:t>6.3 在外包装应标明买方的订货号、发货号。</w:t>
      </w:r>
    </w:p>
    <w:p>
      <w:pPr>
        <w:spacing w:line="440" w:lineRule="exact"/>
        <w:jc w:val="left"/>
        <w:rPr>
          <w:rFonts w:ascii="宋体" w:hAnsi="宋体" w:cs="宋体"/>
          <w:sz w:val="24"/>
          <w:szCs w:val="24"/>
        </w:rPr>
      </w:pPr>
      <w:r>
        <w:rPr>
          <w:rFonts w:hint="eastAsia" w:ascii="宋体" w:hAnsi="宋体" w:cs="宋体"/>
          <w:sz w:val="24"/>
          <w:szCs w:val="24"/>
        </w:rPr>
        <w:t>6.4 各种包装应能确保在运输过程中，不致遭到损坏、丢失、变形、受潮和腐蚀。</w:t>
      </w:r>
    </w:p>
    <w:p>
      <w:pPr>
        <w:spacing w:line="440" w:lineRule="exact"/>
        <w:jc w:val="left"/>
        <w:rPr>
          <w:rFonts w:ascii="宋体" w:hAnsi="宋体" w:cs="宋体"/>
          <w:sz w:val="24"/>
          <w:szCs w:val="24"/>
        </w:rPr>
      </w:pPr>
      <w:r>
        <w:rPr>
          <w:rFonts w:hint="eastAsia" w:ascii="宋体" w:hAnsi="宋体" w:cs="宋体"/>
          <w:sz w:val="24"/>
          <w:szCs w:val="24"/>
        </w:rPr>
        <w:t>6.5 整体产品或分别运输的都要适合运输和装载的要求。</w:t>
      </w:r>
    </w:p>
    <w:p>
      <w:pPr>
        <w:spacing w:line="440" w:lineRule="exact"/>
        <w:jc w:val="left"/>
        <w:rPr>
          <w:rFonts w:ascii="宋体" w:hAnsi="宋体" w:cs="宋体"/>
          <w:sz w:val="24"/>
          <w:szCs w:val="24"/>
        </w:rPr>
      </w:pPr>
      <w:r>
        <w:rPr>
          <w:rFonts w:hint="eastAsia" w:ascii="宋体" w:hAnsi="宋体" w:cs="宋体"/>
          <w:sz w:val="24"/>
          <w:szCs w:val="24"/>
        </w:rPr>
        <w:t>6.6 随产品提供的技术资料应完整无缺。</w:t>
      </w:r>
    </w:p>
    <w:p>
      <w:pPr>
        <w:spacing w:line="440" w:lineRule="exact"/>
        <w:jc w:val="left"/>
        <w:rPr>
          <w:rFonts w:ascii="宋体" w:hAnsi="宋体" w:cs="宋体"/>
          <w:b/>
          <w:bCs/>
          <w:sz w:val="24"/>
          <w:szCs w:val="24"/>
        </w:rPr>
      </w:pPr>
      <w:r>
        <w:rPr>
          <w:rFonts w:hint="eastAsia" w:ascii="宋体" w:hAnsi="宋体" w:cs="宋体"/>
          <w:b/>
          <w:bCs/>
          <w:sz w:val="24"/>
          <w:szCs w:val="24"/>
        </w:rPr>
        <w:t>七、质量保证和管理</w:t>
      </w:r>
    </w:p>
    <w:p>
      <w:pPr>
        <w:spacing w:line="440" w:lineRule="exact"/>
        <w:jc w:val="left"/>
        <w:rPr>
          <w:rFonts w:ascii="宋体" w:hAnsi="宋体" w:cs="宋体"/>
          <w:sz w:val="24"/>
          <w:szCs w:val="24"/>
        </w:rPr>
      </w:pPr>
      <w:r>
        <w:rPr>
          <w:rFonts w:hint="eastAsia" w:ascii="宋体" w:hAnsi="宋体" w:cs="宋体"/>
          <w:sz w:val="24"/>
          <w:szCs w:val="24"/>
        </w:rPr>
        <w:t>7.1 乙方应保证其提供的均应符合国家规定的质量、规格和性能。</w:t>
      </w:r>
    </w:p>
    <w:p>
      <w:pPr>
        <w:spacing w:line="440" w:lineRule="exact"/>
        <w:jc w:val="left"/>
        <w:rPr>
          <w:rFonts w:ascii="宋体" w:hAnsi="宋体" w:cs="宋体"/>
          <w:sz w:val="24"/>
          <w:szCs w:val="24"/>
        </w:rPr>
      </w:pPr>
      <w:r>
        <w:rPr>
          <w:rFonts w:hint="eastAsia" w:ascii="宋体" w:hAnsi="宋体" w:cs="宋体"/>
          <w:sz w:val="24"/>
          <w:szCs w:val="24"/>
        </w:rPr>
        <w:t>7.2 质保期为现场验收合格后起算，质保期为符合国家有关行业规定。</w:t>
      </w:r>
    </w:p>
    <w:p>
      <w:pPr>
        <w:spacing w:line="440" w:lineRule="exact"/>
        <w:jc w:val="left"/>
        <w:rPr>
          <w:rFonts w:ascii="宋体" w:hAnsi="宋体" w:cs="宋体"/>
          <w:sz w:val="24"/>
          <w:szCs w:val="24"/>
        </w:rPr>
      </w:pPr>
      <w:r>
        <w:rPr>
          <w:rFonts w:hint="eastAsia" w:ascii="宋体" w:hAnsi="宋体" w:cs="宋体"/>
          <w:sz w:val="24"/>
          <w:szCs w:val="24"/>
        </w:rPr>
        <w:t>7.3 在质保期内的质量问题，乙方应负责免费尽快更换，发生的一切费用，包括工时费、交通费、住宿费、通讯费均由乙方承担。给甲方造成损失的，应赔偿相应损失。</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widowControl/>
        <w:snapToGrid w:val="0"/>
        <w:spacing w:before="240" w:after="100" w:afterAutospacing="1" w:line="360" w:lineRule="auto"/>
        <w:contextualSpacing/>
        <w:jc w:val="left"/>
        <w:rPr>
          <w:rFonts w:ascii="仿宋_GB2312" w:eastAsia="仿宋_GB2312"/>
          <w:b/>
          <w:sz w:val="32"/>
          <w:szCs w:val="30"/>
        </w:rPr>
      </w:pPr>
      <w:bookmarkStart w:id="0" w:name="_Toc459275972"/>
      <w:r>
        <w:rPr>
          <w:rFonts w:hint="eastAsia" w:ascii="仿宋_GB2312" w:eastAsia="仿宋_GB2312"/>
          <w:b/>
          <w:sz w:val="32"/>
          <w:szCs w:val="30"/>
        </w:rPr>
        <w:t>一、采购设备明细</w:t>
      </w:r>
    </w:p>
    <w:tbl>
      <w:tblPr>
        <w:tblStyle w:val="8"/>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kern w:val="0"/>
                <w:sz w:val="28"/>
              </w:rPr>
            </w:pPr>
            <w:r>
              <w:rPr>
                <w:rFonts w:hint="eastAsia" w:ascii="仿宋_GB2312" w:eastAsia="仿宋_GB2312" w:cs="宋体"/>
                <w:kern w:val="0"/>
                <w:sz w:val="28"/>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单位</w:t>
            </w:r>
          </w:p>
        </w:tc>
      </w:tr>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车厢可卸式垃圾车</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10</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kern w:val="0"/>
                <w:sz w:val="28"/>
              </w:rPr>
            </w:pPr>
            <w:r>
              <w:rPr>
                <w:rFonts w:hint="eastAsia" w:ascii="仿宋_GB2312" w:eastAsia="仿宋_GB2312" w:cs="宋体"/>
                <w:kern w:val="0"/>
                <w:sz w:val="28"/>
              </w:rPr>
              <w:t>辆</w:t>
            </w:r>
          </w:p>
        </w:tc>
      </w:tr>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2</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12方联体式垃圾压缩箱</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20</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kern w:val="0"/>
                <w:sz w:val="28"/>
              </w:rPr>
            </w:pPr>
            <w:r>
              <w:rPr>
                <w:rFonts w:hint="eastAsia" w:ascii="仿宋_GB2312" w:eastAsia="仿宋_GB2312" w:cs="宋体"/>
                <w:kern w:val="0"/>
                <w:sz w:val="28"/>
              </w:rPr>
              <w:t>个</w:t>
            </w:r>
          </w:p>
        </w:tc>
      </w:tr>
    </w:tbl>
    <w:p>
      <w:pPr>
        <w:spacing w:line="360" w:lineRule="auto"/>
        <w:rPr>
          <w:rFonts w:ascii="仿宋_GB2312" w:eastAsia="仿宋_GB2312"/>
          <w:b/>
          <w:sz w:val="32"/>
          <w:szCs w:val="30"/>
        </w:rPr>
      </w:pPr>
      <w:r>
        <w:rPr>
          <w:rFonts w:hint="eastAsia" w:ascii="仿宋_GB2312" w:eastAsia="仿宋_GB2312"/>
          <w:b/>
          <w:sz w:val="32"/>
          <w:szCs w:val="30"/>
        </w:rPr>
        <w:t>二、</w:t>
      </w:r>
      <w:bookmarkEnd w:id="0"/>
      <w:bookmarkStart w:id="1" w:name="_Toc405475071"/>
      <w:bookmarkStart w:id="2" w:name="_Toc405475129"/>
      <w:r>
        <w:rPr>
          <w:rFonts w:hint="eastAsia" w:ascii="仿宋_GB2312" w:eastAsia="仿宋_GB2312"/>
          <w:b/>
          <w:sz w:val="32"/>
          <w:szCs w:val="30"/>
        </w:rPr>
        <w:t>技术参数要求</w:t>
      </w:r>
    </w:p>
    <w:p>
      <w:pPr>
        <w:spacing w:line="400" w:lineRule="exact"/>
        <w:rPr>
          <w:rFonts w:ascii="仿宋_GB2312" w:eastAsia="仿宋_GB2312"/>
          <w:b/>
          <w:sz w:val="28"/>
          <w:szCs w:val="32"/>
        </w:rPr>
      </w:pPr>
      <w:r>
        <w:rPr>
          <w:rFonts w:hint="eastAsia" w:ascii="仿宋_GB2312" w:eastAsia="仿宋_GB2312"/>
          <w:b/>
          <w:sz w:val="28"/>
          <w:szCs w:val="32"/>
        </w:rPr>
        <w:t>1、12立方联体水平式垃圾压缩设备</w:t>
      </w:r>
    </w:p>
    <w:tbl>
      <w:tblPr>
        <w:tblStyle w:val="8"/>
        <w:tblW w:w="8581" w:type="dxa"/>
        <w:jc w:val="center"/>
        <w:tblInd w:w="0" w:type="dxa"/>
        <w:tblLayout w:type="fixed"/>
        <w:tblCellMar>
          <w:top w:w="0" w:type="dxa"/>
          <w:left w:w="108" w:type="dxa"/>
          <w:bottom w:w="0" w:type="dxa"/>
          <w:right w:w="108" w:type="dxa"/>
        </w:tblCellMar>
      </w:tblPr>
      <w:tblGrid>
        <w:gridCol w:w="1114"/>
        <w:gridCol w:w="1379"/>
        <w:gridCol w:w="1380"/>
        <w:gridCol w:w="4708"/>
      </w:tblGrid>
      <w:tr>
        <w:tblPrEx>
          <w:tblLayout w:type="fixed"/>
          <w:tblCellMar>
            <w:top w:w="0" w:type="dxa"/>
            <w:left w:w="108" w:type="dxa"/>
            <w:bottom w:w="0" w:type="dxa"/>
            <w:right w:w="108" w:type="dxa"/>
          </w:tblCellMar>
        </w:tblPrEx>
        <w:trPr>
          <w:trHeight w:val="84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序号</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性能参数名称</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招标参数和性能要求</w:t>
            </w:r>
          </w:p>
        </w:tc>
      </w:tr>
      <w:tr>
        <w:tblPrEx>
          <w:tblLayout w:type="fixed"/>
          <w:tblCellMar>
            <w:top w:w="0" w:type="dxa"/>
            <w:left w:w="108" w:type="dxa"/>
            <w:bottom w:w="0" w:type="dxa"/>
            <w:right w:w="108" w:type="dxa"/>
          </w:tblCellMar>
        </w:tblPrEx>
        <w:trPr>
          <w:trHeight w:val="462"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压缩机</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压缩方式、压缩机和箱体连接方式</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水平式、联体</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电源</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380V，三相，防水设计</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★压缩力（kN）</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≥340</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1.4</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动力系统控制方式</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微处理器或PLC可编程序控制器</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★循环时间（s）</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≤40</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1.6</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功率（kW）</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≥7.5</w:t>
            </w:r>
          </w:p>
        </w:tc>
      </w:tr>
      <w:tr>
        <w:tblPrEx>
          <w:tblLayout w:type="fixed"/>
          <w:tblCellMar>
            <w:top w:w="0" w:type="dxa"/>
            <w:left w:w="108" w:type="dxa"/>
            <w:bottom w:w="0" w:type="dxa"/>
            <w:right w:w="108" w:type="dxa"/>
          </w:tblCellMar>
        </w:tblPrEx>
        <w:trPr>
          <w:trHeight w:val="459"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w:t>
            </w:r>
          </w:p>
        </w:tc>
        <w:tc>
          <w:tcPr>
            <w:tcW w:w="1379"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★投料口尺寸（mm）</w:t>
            </w:r>
          </w:p>
        </w:tc>
        <w:tc>
          <w:tcPr>
            <w:tcW w:w="138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长</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≥2050</w:t>
            </w:r>
          </w:p>
        </w:tc>
      </w:tr>
      <w:tr>
        <w:tblPrEx>
          <w:tblLayout w:type="fixed"/>
          <w:tblCellMar>
            <w:top w:w="0" w:type="dxa"/>
            <w:left w:w="108" w:type="dxa"/>
            <w:bottom w:w="0" w:type="dxa"/>
            <w:right w:w="108" w:type="dxa"/>
          </w:tblCellMar>
        </w:tblPrEx>
        <w:trPr>
          <w:trHeight w:val="210"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379"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c>
          <w:tcPr>
            <w:tcW w:w="138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宽</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≥1540</w:t>
            </w:r>
          </w:p>
        </w:tc>
      </w:tr>
      <w:tr>
        <w:tblPrEx>
          <w:tblLayout w:type="fixed"/>
          <w:tblCellMar>
            <w:top w:w="0" w:type="dxa"/>
            <w:left w:w="108" w:type="dxa"/>
            <w:bottom w:w="0" w:type="dxa"/>
            <w:right w:w="108" w:type="dxa"/>
          </w:tblCellMar>
        </w:tblPrEx>
        <w:trPr>
          <w:trHeight w:val="420"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w:t>
            </w:r>
          </w:p>
        </w:tc>
        <w:tc>
          <w:tcPr>
            <w:tcW w:w="2759" w:type="dxa"/>
            <w:gridSpan w:val="2"/>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★翻转斗</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自带翻转斗容积（m</w:t>
            </w:r>
            <w:r>
              <w:rPr>
                <w:rFonts w:hint="eastAsia" w:ascii="宋体" w:hAnsi="宋体"/>
                <w:sz w:val="24"/>
                <w:vertAlign w:val="superscript"/>
              </w:rPr>
              <w:t>3</w:t>
            </w:r>
            <w:r>
              <w:rPr>
                <w:rFonts w:hint="eastAsia" w:ascii="宋体" w:hAnsi="宋体"/>
                <w:sz w:val="24"/>
              </w:rPr>
              <w:t>）：≥4；</w:t>
            </w:r>
          </w:p>
        </w:tc>
      </w:tr>
      <w:tr>
        <w:tblPrEx>
          <w:tblLayout w:type="fixed"/>
          <w:tblCellMar>
            <w:top w:w="0" w:type="dxa"/>
            <w:left w:w="108" w:type="dxa"/>
            <w:bottom w:w="0" w:type="dxa"/>
            <w:right w:w="108" w:type="dxa"/>
          </w:tblCellMar>
        </w:tblPrEx>
        <w:trPr>
          <w:trHeight w:val="420"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2759" w:type="dxa"/>
            <w:gridSpan w:val="2"/>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翻起重量：≥1000kg</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集装箱</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箱体结构</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圆弧箱体，经防腐处理，不易变形</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装载容积（m</w:t>
            </w:r>
            <w:r>
              <w:rPr>
                <w:rFonts w:hint="eastAsia" w:ascii="宋体" w:hAnsi="宋体"/>
                <w:sz w:val="24"/>
                <w:vertAlign w:val="superscript"/>
              </w:rPr>
              <w:t>3</w:t>
            </w:r>
            <w:r>
              <w:rPr>
                <w:rFonts w:hint="eastAsia" w:ascii="宋体" w:hAnsi="宋体"/>
                <w:sz w:val="24"/>
              </w:rPr>
              <w:t>）</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长（mm）宽（mm）高（mm）</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4950*2490*2560(±10)</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1.4</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★箱体自重（t）</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1.5</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箱体壁厚（mm）</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1.6</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★吊耳中央高度（mm）</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szCs w:val="21"/>
              </w:rPr>
              <w:t>1570（mm）</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★箱体纵梁外缘宽度（mm）</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1067</w:t>
            </w:r>
            <w:r>
              <w:rPr>
                <w:rFonts w:hint="eastAsia" w:ascii="宋体" w:hAnsi="宋体"/>
                <w:sz w:val="24"/>
                <w:szCs w:val="21"/>
              </w:rPr>
              <w:t>（mm）</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密封条寿命</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≥0.5年</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使用寿命</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≥5年</w:t>
            </w:r>
          </w:p>
        </w:tc>
      </w:tr>
      <w:tr>
        <w:tblPrEx>
          <w:tblLayout w:type="fixed"/>
          <w:tblCellMar>
            <w:top w:w="0" w:type="dxa"/>
            <w:left w:w="108" w:type="dxa"/>
            <w:bottom w:w="0" w:type="dxa"/>
            <w:right w:w="108" w:type="dxa"/>
          </w:tblCellMar>
        </w:tblPrEx>
        <w:trPr>
          <w:trHeight w:val="42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1.10</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★压缩箱后门锁紧方式</w:t>
            </w:r>
          </w:p>
        </w:tc>
        <w:tc>
          <w:tcPr>
            <w:tcW w:w="470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电控液压，电控尾门锁紧电源系统与可卸式垃圾车相匹配</w:t>
            </w:r>
          </w:p>
        </w:tc>
      </w:tr>
      <w:tr>
        <w:tblPrEx>
          <w:tblLayout w:type="fixed"/>
          <w:tblCellMar>
            <w:top w:w="0" w:type="dxa"/>
            <w:left w:w="108" w:type="dxa"/>
            <w:bottom w:w="0" w:type="dxa"/>
            <w:right w:w="108" w:type="dxa"/>
          </w:tblCellMar>
        </w:tblPrEx>
        <w:trPr>
          <w:trHeight w:val="310"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275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附属配件</w:t>
            </w:r>
          </w:p>
        </w:tc>
        <w:tc>
          <w:tcPr>
            <w:tcW w:w="4708" w:type="dxa"/>
            <w:tcBorders>
              <w:top w:val="single" w:color="auto" w:sz="4" w:space="0"/>
              <w:left w:val="nil"/>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压缩箱尾门备用密封胶条及钢板轨道。</w:t>
            </w:r>
          </w:p>
        </w:tc>
      </w:tr>
    </w:tbl>
    <w:p>
      <w:pPr>
        <w:spacing w:line="400" w:lineRule="exact"/>
        <w:jc w:val="center"/>
        <w:rPr>
          <w:rFonts w:ascii="宋体" w:hAnsi="宋体"/>
          <w:sz w:val="28"/>
          <w:szCs w:val="28"/>
        </w:rPr>
      </w:pPr>
    </w:p>
    <w:p>
      <w:pPr>
        <w:spacing w:line="400" w:lineRule="atLeast"/>
        <w:rPr>
          <w:sz w:val="24"/>
          <w:szCs w:val="24"/>
        </w:rPr>
      </w:pPr>
      <w:r>
        <w:rPr>
          <w:rFonts w:hint="eastAsia"/>
          <w:sz w:val="24"/>
          <w:szCs w:val="24"/>
        </w:rPr>
        <w:t>性能要求：</w:t>
      </w:r>
    </w:p>
    <w:p>
      <w:pPr>
        <w:spacing w:line="400" w:lineRule="atLeast"/>
        <w:ind w:firstLine="480" w:firstLineChars="200"/>
        <w:rPr>
          <w:sz w:val="24"/>
          <w:szCs w:val="24"/>
        </w:rPr>
      </w:pPr>
      <w:r>
        <w:rPr>
          <w:rFonts w:hint="eastAsia"/>
          <w:sz w:val="24"/>
          <w:szCs w:val="24"/>
        </w:rPr>
        <w:t>1、适合多种垃圾收集车（包括3方小型勾臂车、2.5方收集车（垃圾3立方及以下）收集工具上料倒料，确保垃圾能一次卸完）， 能保证垃圾直接倒入翻转斗中，投料口能使垃圾顺畅流入压缩机的压缩腔内。</w:t>
      </w:r>
    </w:p>
    <w:p>
      <w:pPr>
        <w:spacing w:line="400" w:lineRule="atLeast"/>
        <w:ind w:firstLine="480" w:firstLineChars="200"/>
        <w:rPr>
          <w:sz w:val="24"/>
          <w:szCs w:val="24"/>
        </w:rPr>
      </w:pPr>
      <w:r>
        <w:rPr>
          <w:rFonts w:hint="eastAsia"/>
          <w:sz w:val="24"/>
          <w:szCs w:val="24"/>
        </w:rPr>
        <w:t>2、★压缩头的面板、底板采用耐腐蚀、抗变形能力强的知名品牌高强度拉伸钢板制作。</w:t>
      </w:r>
    </w:p>
    <w:p>
      <w:pPr>
        <w:spacing w:line="400" w:lineRule="atLeast"/>
        <w:ind w:firstLine="480" w:firstLineChars="200"/>
        <w:rPr>
          <w:sz w:val="24"/>
          <w:szCs w:val="24"/>
        </w:rPr>
      </w:pPr>
      <w:r>
        <w:rPr>
          <w:rFonts w:hint="eastAsia"/>
          <w:sz w:val="24"/>
          <w:szCs w:val="24"/>
        </w:rPr>
        <w:t xml:space="preserve">电器控制系统采用国际知名品牌PLC逻辑控制系统，电机采用国际知名品牌液压专用电机，功率为7.5KW，；齿轮泵采用国际知名品牌齿轮泵，专用于垃圾压缩机，具有耐压能力高，内泄小，抗污染能力强，运行噪音低（68dB）等优点； </w:t>
      </w:r>
    </w:p>
    <w:p>
      <w:pPr>
        <w:spacing w:line="400" w:lineRule="atLeast"/>
        <w:ind w:firstLine="420" w:firstLineChars="200"/>
        <w:rPr>
          <w:sz w:val="24"/>
          <w:szCs w:val="24"/>
        </w:rPr>
      </w:pPr>
      <w:r>
        <mc:AlternateContent>
          <mc:Choice Requires="wps">
            <w:drawing>
              <wp:anchor distT="0" distB="0" distL="114300" distR="114300" simplePos="0" relativeHeight="1024" behindDoc="0" locked="0" layoutInCell="1" allowOverlap="1">
                <wp:simplePos x="0" y="0"/>
                <wp:positionH relativeFrom="column">
                  <wp:posOffset>5143500</wp:posOffset>
                </wp:positionH>
                <wp:positionV relativeFrom="paragraph">
                  <wp:posOffset>252730</wp:posOffset>
                </wp:positionV>
                <wp:extent cx="971550" cy="180975"/>
                <wp:effectExtent l="0" t="0" r="0" b="0"/>
                <wp:wrapNone/>
                <wp:docPr id="2" name="文本框 2"/>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971550" cy="180975"/>
                        </a:xfrm>
                        <a:prstGeom prst="rect">
                          <a:avLst/>
                        </a:prstGeom>
                        <a:noFill/>
                        <a:ln w="9525">
                          <a:noFill/>
                        </a:ln>
                        <a:effectLst/>
                      </wps:spPr>
                      <wps:txbx>
                        <w:txbxContent>
                          <w:p>
                            <w:pPr>
                              <w:pStyle w:val="5"/>
                              <w:spacing w:before="0" w:beforeAutospacing="0" w:after="0" w:afterAutospacing="0"/>
                              <w:jc w:val="center"/>
                            </w:pPr>
                            <w:r>
                              <w:rPr>
                                <w:rFonts w:hint="eastAsia"/>
                                <w:outline/>
                                <w:color w:val="FFFFFF"/>
                                <w:sz w:val="28"/>
                                <w:szCs w:val="28"/>
                                <w14:textOutline w14:w="9525" w14:cap="flat" w14:cmpd="sng" w14:algn="ctr">
                                  <w14:solidFill>
                                    <w14:srgbClr w14:val="FFFFFF"/>
                                  </w14:solidFill>
                                  <w14:prstDash w14:val="solid"/>
                                  <w14:round/>
                                </w14:textOutline>
                                <w14:textFill>
                                  <w14:noFill/>
                                </w14:textFill>
                              </w:rPr>
                              <w:t>AKG冷却器</w:t>
                            </w:r>
                          </w:p>
                        </w:txbxContent>
                      </wps:txbx>
                      <wps:bodyPr wrap="square" numCol="1" fromWordArt="1">
                        <a:prstTxWarp prst="textPlain">
                          <a:avLst/>
                        </a:prstTxWarp>
                        <a:spAutoFit/>
                      </wps:bodyPr>
                    </wps:wsp>
                  </a:graphicData>
                </a:graphic>
              </wp:anchor>
            </w:drawing>
          </mc:Choice>
          <mc:Fallback>
            <w:pict>
              <v:shape id="_x0000_s1026" o:spid="_x0000_s1026" o:spt="202" type="#_x0000_t202" style="position:absolute;left:0pt;margin-left:405pt;margin-top:19.9pt;height:14.25pt;width:76.5pt;z-index:1024;mso-width-relative:page;mso-height-relative:page;" filled="f" stroked="f" coordsize="21600,21600" o:gfxdata="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Tr61gAAAAkBAAAPAAAAAAAAAAEAIAAAACIAAABkcnMvZG93&#10;bnJldi54bWxQSwECFAAUAAAACACHTuJAx+sgcwICAADZAwAADgAAAAAAAAABACAAAAAlAQAAZHJz&#10;L2Uyb0RvYy54bWxQSwUGAAAAAAYABgBZAQAAmQUAAAAA&#10;">
                <v:path/>
                <v:fill on="f" focussize="0,0"/>
                <v:stroke on="f" joinstyle="miter"/>
                <v:imagedata o:title=""/>
                <o:lock v:ext="edit"/>
                <v:textbox style="mso-fit-shape-to-text:t;">
                  <w:txbxContent>
                    <w:p>
                      <w:pPr>
                        <w:pStyle w:val="5"/>
                        <w:spacing w:before="0" w:beforeAutospacing="0" w:after="0" w:afterAutospacing="0"/>
                        <w:jc w:val="center"/>
                      </w:pPr>
                      <w:r>
                        <w:rPr>
                          <w:rFonts w:hint="eastAsia"/>
                          <w:outline/>
                          <w:color w:val="FFFFFF"/>
                          <w:sz w:val="28"/>
                          <w:szCs w:val="28"/>
                          <w14:textOutline w14:w="9525" w14:cap="flat" w14:cmpd="sng" w14:algn="ctr">
                            <w14:solidFill>
                              <w14:srgbClr w14:val="FFFFFF"/>
                            </w14:solidFill>
                            <w14:prstDash w14:val="solid"/>
                            <w14:round/>
                          </w14:textOutline>
                          <w14:textFill>
                            <w14:noFill/>
                          </w14:textFill>
                        </w:rPr>
                        <w:t>AKG冷却器</w:t>
                      </w:r>
                    </w:p>
                  </w:txbxContent>
                </v:textbox>
              </v:shape>
            </w:pict>
          </mc:Fallback>
        </mc:AlternateContent>
      </w:r>
      <w:r>
        <w:rPr>
          <w:rFonts w:hint="eastAsia"/>
          <w:sz w:val="24"/>
          <w:szCs w:val="24"/>
        </w:rPr>
        <w:t>3、箱体采用侧板-4mm特高强度热轧冷成形钢制成，地板-5mm刚强度耐磨钢板制成，提高箱体的强度及刚性，延长箱体的使用寿命；</w:t>
      </w:r>
    </w:p>
    <w:p>
      <w:pPr>
        <w:spacing w:line="400" w:lineRule="atLeast"/>
        <w:ind w:firstLine="480" w:firstLineChars="200"/>
        <w:rPr>
          <w:sz w:val="24"/>
          <w:szCs w:val="24"/>
        </w:rPr>
      </w:pPr>
      <w:r>
        <w:rPr>
          <w:rFonts w:hint="eastAsia"/>
          <w:sz w:val="24"/>
          <w:szCs w:val="24"/>
        </w:rPr>
        <w:t>★4、液压系统采用国际知名品牌耐压高性能冷却器，使液压油温自动冷却，保证液压油温在酷暑天气连续运作时油温度不超过55℃，保护系统正常运行及液压元件的寿命，压缩箱采用水平式压缩方式，“M”型推铲，推力需达34吨，垃圾压实密度需达0.85T/m3。</w:t>
      </w:r>
    </w:p>
    <w:p>
      <w:pPr>
        <w:spacing w:line="400" w:lineRule="atLeast"/>
        <w:ind w:firstLine="480" w:firstLineChars="200"/>
        <w:rPr>
          <w:sz w:val="24"/>
          <w:szCs w:val="24"/>
        </w:rPr>
      </w:pPr>
      <w:r>
        <w:rPr>
          <w:rFonts w:hint="eastAsia"/>
          <w:sz w:val="24"/>
          <w:szCs w:val="24"/>
        </w:rPr>
        <w:t xml:space="preserve">★5、控制系统：推头循环动作采用电流信号切换和调整，压缩比可通过电气信号调整，可实现各动作单独运动、各动作间互锁、电液控制、程序化操作，同时具备面板操作和无线遥控操作两种方式；可记忆操作记录，自动随运行工况检查并反映压缩机可能出现的问题并提示解决方案，可显示压缩装置的运行工况、操作记录及箱体装载情况，箱满自动停机、提示转运、避免超载，配有专用钥匙开启。  </w:t>
      </w:r>
    </w:p>
    <w:p>
      <w:pPr>
        <w:spacing w:line="400" w:lineRule="atLeast"/>
        <w:ind w:firstLine="480" w:firstLineChars="200"/>
        <w:rPr>
          <w:sz w:val="24"/>
          <w:szCs w:val="24"/>
        </w:rPr>
      </w:pPr>
      <w:r>
        <w:rPr>
          <w:rFonts w:hint="eastAsia"/>
          <w:sz w:val="24"/>
          <w:szCs w:val="24"/>
        </w:rPr>
        <w:t>6、后卸料门锁紧机构采用电控开启/关闭系统, 具有方便美观的特点，避免了液动开启带来的漏液滴液的缺点。后门须采用“Ω”型密封技术，达到100％密封，污水无泄漏，密封条使用寿命长需达一年以上，保证在运输过程中不会发生沿途垃圾飘洒及污水滴漏等污染道路的现象。</w:t>
      </w:r>
    </w:p>
    <w:p>
      <w:pPr>
        <w:tabs>
          <w:tab w:val="left" w:pos="180"/>
          <w:tab w:val="left" w:pos="1620"/>
        </w:tabs>
        <w:spacing w:line="400" w:lineRule="atLeast"/>
        <w:rPr>
          <w:rStyle w:val="7"/>
          <w:rFonts w:ascii="宋体" w:hAnsi="宋体"/>
          <w:b/>
          <w:i w:val="0"/>
          <w:sz w:val="24"/>
          <w:szCs w:val="24"/>
        </w:rPr>
      </w:pPr>
      <w:r>
        <w:rPr>
          <w:rFonts w:hint="eastAsia"/>
          <w:sz w:val="24"/>
          <w:szCs w:val="24"/>
        </w:rPr>
        <w:t>★</w:t>
      </w:r>
      <w:r>
        <w:rPr>
          <w:rStyle w:val="7"/>
          <w:rFonts w:hint="eastAsia" w:ascii="宋体" w:hAnsi="宋体"/>
          <w:b/>
          <w:sz w:val="24"/>
          <w:szCs w:val="24"/>
        </w:rPr>
        <w:t>7.</w:t>
      </w:r>
      <w:r>
        <w:rPr>
          <w:rFonts w:hint="eastAsia" w:ascii="宋体" w:hAnsi="宋体" w:cs="宋体"/>
          <w:kern w:val="0"/>
          <w:sz w:val="24"/>
          <w:szCs w:val="24"/>
        </w:rPr>
        <w:t>油漆的喷涂工艺：箱体经过酸洗磷化处理，喷丸打磨工艺，增加油漆的附着力，底漆喷涂，使箱体耐腐蚀性，使用寿命增长。</w:t>
      </w:r>
    </w:p>
    <w:p>
      <w:pPr>
        <w:tabs>
          <w:tab w:val="left" w:pos="180"/>
          <w:tab w:val="left" w:pos="1620"/>
        </w:tabs>
        <w:spacing w:line="400" w:lineRule="atLeast"/>
        <w:rPr>
          <w:rFonts w:ascii="宋体" w:hAnsi="宋体"/>
          <w:sz w:val="24"/>
          <w:szCs w:val="24"/>
        </w:rPr>
      </w:pPr>
      <w:r>
        <w:rPr>
          <w:rStyle w:val="7"/>
          <w:rFonts w:hint="eastAsia" w:ascii="宋体" w:hAnsi="宋体"/>
          <w:b/>
          <w:sz w:val="24"/>
          <w:szCs w:val="24"/>
        </w:rPr>
        <w:t>注：</w:t>
      </w:r>
      <w:r>
        <w:rPr>
          <w:rFonts w:hint="eastAsia" w:ascii="宋体" w:hAnsi="宋体"/>
          <w:sz w:val="24"/>
          <w:szCs w:val="24"/>
        </w:rPr>
        <w:t>所有带</w:t>
      </w:r>
      <w:r>
        <w:rPr>
          <w:rFonts w:hint="eastAsia"/>
          <w:sz w:val="24"/>
          <w:szCs w:val="24"/>
        </w:rPr>
        <w:t>★</w:t>
      </w:r>
      <w:r>
        <w:rPr>
          <w:rFonts w:hint="eastAsia" w:ascii="宋体" w:hAnsi="宋体"/>
          <w:sz w:val="24"/>
          <w:szCs w:val="24"/>
        </w:rPr>
        <w:t>技术参数均需提供证明资料，所提供技术证明资料包括：以国家工信部公告和检测报告、副省级以上第三方检测机构出具的产品公告和检测报告等为准。</w:t>
      </w:r>
    </w:p>
    <w:p>
      <w:pPr>
        <w:tabs>
          <w:tab w:val="left" w:pos="180"/>
          <w:tab w:val="left" w:pos="1620"/>
        </w:tabs>
        <w:spacing w:line="400" w:lineRule="atLeast"/>
        <w:rPr>
          <w:rFonts w:ascii="宋体" w:hAnsi="宋体"/>
          <w:sz w:val="24"/>
          <w:szCs w:val="24"/>
        </w:rPr>
      </w:pPr>
    </w:p>
    <w:p>
      <w:pPr>
        <w:tabs>
          <w:tab w:val="left" w:pos="180"/>
          <w:tab w:val="left" w:pos="1620"/>
        </w:tabs>
        <w:spacing w:line="400" w:lineRule="atLeast"/>
        <w:rPr>
          <w:rFonts w:ascii="宋体" w:hAnsi="宋体"/>
          <w:sz w:val="24"/>
          <w:szCs w:val="24"/>
        </w:rPr>
      </w:pPr>
      <w:r>
        <w:rPr>
          <w:rFonts w:hint="eastAsia" w:ascii="仿宋_GB2312" w:eastAsia="仿宋_GB2312"/>
          <w:b/>
          <w:sz w:val="28"/>
          <w:szCs w:val="32"/>
        </w:rPr>
        <w:t>2、</w:t>
      </w:r>
      <w:r>
        <w:rPr>
          <w:rFonts w:hint="eastAsia" w:ascii="仿宋_GB2312" w:eastAsia="仿宋_GB2312" w:cs="宋体"/>
          <w:kern w:val="0"/>
          <w:sz w:val="28"/>
        </w:rPr>
        <w:t>车厢可卸式垃圾车</w:t>
      </w:r>
    </w:p>
    <w:tbl>
      <w:tblPr>
        <w:tblStyle w:val="8"/>
        <w:tblpPr w:leftFromText="180" w:rightFromText="180" w:vertAnchor="text" w:horzAnchor="margin" w:tblpXSpec="center" w:tblpY="11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★底盘型号</w:t>
            </w:r>
          </w:p>
        </w:tc>
        <w:tc>
          <w:tcPr>
            <w:tcW w:w="5387" w:type="dxa"/>
            <w:vAlign w:val="center"/>
          </w:tcPr>
          <w:p>
            <w:pPr>
              <w:widowControl/>
              <w:spacing w:line="400" w:lineRule="atLeast"/>
              <w:rPr>
                <w:rFonts w:ascii="宋体" w:hAnsi="宋体" w:cs="宋体"/>
                <w:sz w:val="24"/>
              </w:rPr>
            </w:pPr>
            <w:r>
              <w:rPr>
                <w:rFonts w:ascii="宋体" w:hAnsi="宋体" w:cs="宋体"/>
                <w:sz w:val="24"/>
              </w:rPr>
              <w:t>DFH1180BX1V</w:t>
            </w:r>
            <w:r>
              <w:rPr>
                <w:rFonts w:hint="eastAsia" w:ascii="宋体" w:hAnsi="宋体" w:cs="宋体"/>
                <w:sz w:val="24"/>
              </w:rPr>
              <w:t>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★发动机型号</w:t>
            </w:r>
          </w:p>
        </w:tc>
        <w:tc>
          <w:tcPr>
            <w:tcW w:w="5387" w:type="dxa"/>
            <w:vAlign w:val="center"/>
          </w:tcPr>
          <w:p>
            <w:pPr>
              <w:widowControl/>
              <w:spacing w:line="400" w:lineRule="atLeast"/>
              <w:rPr>
                <w:rFonts w:ascii="宋体" w:hAnsi="宋体" w:cs="宋体"/>
                <w:sz w:val="24"/>
              </w:rPr>
            </w:pPr>
            <w:r>
              <w:rPr>
                <w:rFonts w:ascii="宋体" w:hAnsi="宋体" w:cs="宋体"/>
                <w:sz w:val="24"/>
              </w:rPr>
              <w:t>ISD</w:t>
            </w:r>
            <w:r>
              <w:rPr>
                <w:rFonts w:hint="eastAsia" w:ascii="宋体" w:hAnsi="宋体" w:cs="宋体"/>
                <w:sz w:val="24"/>
              </w:rPr>
              <w:t>210</w:t>
            </w:r>
            <w:r>
              <w:rPr>
                <w:rFonts w:ascii="宋体" w:hAnsi="宋体" w:cs="宋体"/>
                <w:sz w:val="24"/>
              </w:rPr>
              <w:t xml:space="preserve"> </w:t>
            </w:r>
            <w:r>
              <w:rPr>
                <w:rFonts w:hint="eastAsia" w:ascii="宋体" w:hAnsi="宋体" w:cs="宋体"/>
                <w:sz w:val="24"/>
              </w:rPr>
              <w:t>50或优于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燃油类型及排放阶段</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柴油，国Ⅴ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发动机功率（kw）</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最高车速(km/h)</w:t>
            </w:r>
          </w:p>
        </w:tc>
        <w:tc>
          <w:tcPr>
            <w:tcW w:w="5387" w:type="dxa"/>
            <w:vAlign w:val="center"/>
          </w:tcPr>
          <w:p>
            <w:pPr>
              <w:widowControl/>
              <w:spacing w:line="400" w:lineRule="atLeast"/>
              <w:rPr>
                <w:rFonts w:ascii="宋体" w:hAnsi="宋体" w:cs="宋体"/>
                <w:sz w:val="24"/>
              </w:rPr>
            </w:pPr>
            <w:r>
              <w:rPr>
                <w:rFonts w:ascii="宋体" w:hAnsi="宋体" w:cs="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轴    距mm</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整车尺寸(mm)</w:t>
            </w:r>
          </w:p>
        </w:tc>
        <w:tc>
          <w:tcPr>
            <w:tcW w:w="5387" w:type="dxa"/>
          </w:tcPr>
          <w:p>
            <w:pPr>
              <w:widowControl/>
              <w:spacing w:line="400" w:lineRule="atLeast"/>
              <w:rPr>
                <w:rFonts w:ascii="宋体" w:hAnsi="宋体" w:cs="宋体"/>
                <w:sz w:val="24"/>
              </w:rPr>
            </w:pPr>
            <w:r>
              <w:rPr>
                <w:rFonts w:hint="eastAsia" w:ascii="宋体" w:hAnsi="宋体" w:cs="宋体"/>
                <w:sz w:val="24"/>
              </w:rPr>
              <w:t>≥长7</w:t>
            </w:r>
            <w:r>
              <w:rPr>
                <w:rFonts w:ascii="宋体" w:hAnsi="宋体" w:cs="宋体"/>
                <w:sz w:val="24"/>
              </w:rPr>
              <w:t>31</w:t>
            </w:r>
            <w:r>
              <w:rPr>
                <w:rFonts w:hint="eastAsia" w:ascii="宋体" w:hAnsi="宋体" w:cs="宋体"/>
                <w:sz w:val="24"/>
              </w:rPr>
              <w:t>0×宽24</w:t>
            </w:r>
            <w:r>
              <w:rPr>
                <w:rFonts w:ascii="宋体" w:hAnsi="宋体" w:cs="宋体"/>
                <w:sz w:val="24"/>
              </w:rPr>
              <w:t>7</w:t>
            </w:r>
            <w:r>
              <w:rPr>
                <w:rFonts w:hint="eastAsia" w:ascii="宋体" w:hAnsi="宋体" w:cs="宋体"/>
                <w:sz w:val="24"/>
              </w:rPr>
              <w:t>0×高</w:t>
            </w:r>
            <w:r>
              <w:rPr>
                <w:rFonts w:ascii="宋体" w:hAnsi="宋体" w:cs="宋体"/>
                <w:sz w:val="24"/>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总质量（kg）</w:t>
            </w:r>
          </w:p>
        </w:tc>
        <w:tc>
          <w:tcPr>
            <w:tcW w:w="5387" w:type="dxa"/>
          </w:tcPr>
          <w:p>
            <w:pPr>
              <w:widowControl/>
              <w:spacing w:line="400" w:lineRule="atLeast"/>
              <w:rPr>
                <w:rFonts w:ascii="宋体" w:hAnsi="宋体" w:cs="宋体"/>
                <w:sz w:val="24"/>
              </w:rPr>
            </w:pPr>
            <w:r>
              <w:rPr>
                <w:rFonts w:hint="eastAsia" w:ascii="宋体" w:hAnsi="宋体" w:cs="宋体"/>
                <w:sz w:val="24"/>
              </w:rPr>
              <w:t>≥18</w:t>
            </w:r>
            <w:r>
              <w:rPr>
                <w:rFonts w:ascii="宋体" w:hAnsi="宋体" w:cs="宋体"/>
                <w:sz w:val="24"/>
              </w:rPr>
              <w:t>0</w:t>
            </w:r>
            <w:r>
              <w:rPr>
                <w:rFonts w:hint="eastAsia" w:ascii="宋体" w:hAnsi="宋体"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整备质量（kg）</w:t>
            </w:r>
          </w:p>
        </w:tc>
        <w:tc>
          <w:tcPr>
            <w:tcW w:w="5387" w:type="dxa"/>
          </w:tcPr>
          <w:p>
            <w:pPr>
              <w:widowControl/>
              <w:spacing w:line="400" w:lineRule="atLeast"/>
              <w:rPr>
                <w:rFonts w:ascii="宋体" w:hAnsi="宋体" w:cs="宋体"/>
                <w:sz w:val="24"/>
              </w:rPr>
            </w:pPr>
            <w:r>
              <w:rPr>
                <w:rFonts w:hint="eastAsia" w:ascii="宋体" w:hAnsi="宋体" w:cs="宋体"/>
                <w:sz w:val="24"/>
              </w:rPr>
              <w:t>≥</w:t>
            </w:r>
            <w:r>
              <w:rPr>
                <w:rFonts w:ascii="宋体" w:hAnsi="宋体" w:cs="宋体"/>
                <w:sz w:val="24"/>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★额定载质量（kg）</w:t>
            </w:r>
          </w:p>
        </w:tc>
        <w:tc>
          <w:tcPr>
            <w:tcW w:w="5387" w:type="dxa"/>
          </w:tcPr>
          <w:p>
            <w:pPr>
              <w:widowControl/>
              <w:spacing w:line="400" w:lineRule="atLeast"/>
              <w:rPr>
                <w:rFonts w:ascii="宋体" w:hAnsi="宋体" w:cs="宋体"/>
                <w:sz w:val="24"/>
              </w:rPr>
            </w:pPr>
            <w:r>
              <w:rPr>
                <w:rFonts w:hint="eastAsia" w:ascii="宋体" w:hAnsi="宋体" w:cs="宋体"/>
                <w:sz w:val="24"/>
              </w:rPr>
              <w:t>≥</w:t>
            </w:r>
            <w:r>
              <w:rPr>
                <w:rFonts w:ascii="宋体" w:hAnsi="宋体" w:cs="宋体"/>
                <w:sz w:val="24"/>
              </w:rPr>
              <w:t>10045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钢板弹簧数</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8/10</w:t>
            </w:r>
            <w:r>
              <w:rPr>
                <w:rFonts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轮胎规格</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10.00</w:t>
            </w:r>
            <w:r>
              <w:rPr>
                <w:rFonts w:ascii="宋体" w:hAnsi="宋体" w:cs="宋体"/>
                <w:sz w:val="24"/>
              </w:rPr>
              <w:t>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★接近角/离去角(°)</w:t>
            </w:r>
          </w:p>
        </w:tc>
        <w:tc>
          <w:tcPr>
            <w:tcW w:w="5387" w:type="dxa"/>
          </w:tcPr>
          <w:p>
            <w:pPr>
              <w:widowControl/>
              <w:spacing w:line="400" w:lineRule="atLeast"/>
              <w:rPr>
                <w:rFonts w:ascii="宋体" w:hAnsi="宋体" w:cs="宋体"/>
                <w:sz w:val="24"/>
              </w:rPr>
            </w:pPr>
            <w:r>
              <w:rPr>
                <w:rFonts w:hint="eastAsia" w:ascii="宋体" w:hAnsi="宋体" w:cs="宋体"/>
                <w:sz w:val="24"/>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钩厢时间（s）</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车厢举升时间（s）</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车厢降落时间（s）</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★车厢最大举升角（°）</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tcPr>
          <w:p>
            <w:pPr>
              <w:widowControl/>
              <w:spacing w:line="400" w:lineRule="atLeast"/>
              <w:rPr>
                <w:rFonts w:ascii="宋体" w:hAnsi="宋体" w:cs="宋体"/>
                <w:sz w:val="24"/>
              </w:rPr>
            </w:pPr>
            <w:r>
              <w:rPr>
                <w:rFonts w:hint="eastAsia" w:ascii="宋体" w:hAnsi="宋体" w:cs="宋体"/>
                <w:sz w:val="24"/>
              </w:rPr>
              <w:t>适配箱体长度mm</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4500～5300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spacing w:line="400" w:lineRule="atLeast"/>
              <w:rPr>
                <w:rFonts w:ascii="宋体" w:hAnsi="宋体" w:cs="宋体"/>
                <w:sz w:val="24"/>
              </w:rPr>
            </w:pPr>
            <w:r>
              <w:rPr>
                <w:rFonts w:hint="eastAsia" w:ascii="宋体" w:hAnsi="宋体" w:cs="宋体"/>
                <w:sz w:val="24"/>
              </w:rPr>
              <w:t>★后轮支撑安全腿</w:t>
            </w:r>
          </w:p>
        </w:tc>
        <w:tc>
          <w:tcPr>
            <w:tcW w:w="5387" w:type="dxa"/>
            <w:vAlign w:val="center"/>
          </w:tcPr>
          <w:p>
            <w:pPr>
              <w:spacing w:line="400" w:lineRule="atLeast"/>
              <w:rPr>
                <w:rFonts w:ascii="宋体" w:hAnsi="宋体" w:cs="宋体"/>
                <w:sz w:val="24"/>
              </w:rPr>
            </w:pPr>
            <w:r>
              <w:rPr>
                <w:rFonts w:hint="eastAsia" w:ascii="宋体" w:hAnsi="宋体" w:cs="宋体"/>
                <w:sz w:val="24"/>
              </w:rPr>
              <w:t>增加勾臂架回位后滚筒支撑自动回位。单滚筒式，滚筒长度≥445mm（须提供该装置实物图片），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spacing w:line="400" w:lineRule="atLeast"/>
              <w:rPr>
                <w:rFonts w:ascii="宋体" w:hAnsi="宋体" w:cs="宋体"/>
                <w:sz w:val="24"/>
              </w:rPr>
            </w:pPr>
            <w:r>
              <w:rPr>
                <w:rFonts w:hint="eastAsia" w:ascii="宋体" w:hAnsi="宋体" w:cs="宋体"/>
                <w:sz w:val="24"/>
              </w:rPr>
              <w:t>★3C、环保公告</w:t>
            </w:r>
          </w:p>
        </w:tc>
        <w:tc>
          <w:tcPr>
            <w:tcW w:w="5387" w:type="dxa"/>
            <w:vAlign w:val="center"/>
          </w:tcPr>
          <w:p>
            <w:pPr>
              <w:spacing w:line="400" w:lineRule="atLeast"/>
              <w:rPr>
                <w:rFonts w:ascii="宋体" w:hAnsi="宋体" w:cs="宋体"/>
                <w:sz w:val="24"/>
              </w:rPr>
            </w:pPr>
            <w:r>
              <w:rPr>
                <w:rFonts w:hint="eastAsia" w:ascii="宋体" w:hAnsi="宋体" w:cs="宋体"/>
                <w:sz w:val="24"/>
              </w:rPr>
              <w:t>必须经3C认证并具有国家发改委发布的汽车产品公告、国家环保部的环保公告。（以国家发改委汽车公告查询系统官网查询结果为准， 提供网站链接及相关信息的扫描件加盖公章）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spacing w:line="400" w:lineRule="atLeast"/>
              <w:rPr>
                <w:rFonts w:ascii="宋体" w:hAnsi="宋体" w:cs="宋体"/>
                <w:color w:val="FF0000"/>
                <w:sz w:val="24"/>
              </w:rPr>
            </w:pPr>
            <w:r>
              <w:rPr>
                <w:rFonts w:hint="eastAsia" w:ascii="宋体" w:hAnsi="宋体" w:cs="宋体"/>
                <w:color w:val="FF0000"/>
                <w:sz w:val="24"/>
              </w:rPr>
              <w:t>驾驶室</w:t>
            </w:r>
          </w:p>
        </w:tc>
        <w:tc>
          <w:tcPr>
            <w:tcW w:w="5387" w:type="dxa"/>
            <w:vAlign w:val="center"/>
          </w:tcPr>
          <w:p>
            <w:pPr>
              <w:spacing w:line="400" w:lineRule="atLeast"/>
              <w:rPr>
                <w:rFonts w:ascii="宋体" w:hAnsi="宋体" w:cs="宋体"/>
                <w:color w:val="FF0000"/>
                <w:sz w:val="24"/>
              </w:rPr>
            </w:pPr>
            <w:r>
              <w:rPr>
                <w:rFonts w:hint="eastAsia" w:ascii="宋体" w:hAnsi="宋体" w:cs="宋体"/>
                <w:color w:val="FF0000"/>
                <w:sz w:val="24"/>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钩臂上装安全性保证</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采用高强度钢板，具有高耐磨性。满足CE符合声明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钩臂焊接工艺</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钩臂上装焊接质量安全可靠满足ISO3834国际焊接质量体系认证要求。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★箱体锁紧装置</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箱体锁紧装置采用外置自动锁紧定位，确保箱体在行驶过程中不会抖动。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安全提升钩</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采用高强度耐磨钢制成。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钩臂</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可采用伸缩臂，具有高强度性能，以适应不同压缩箱。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液压系统</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采用高品质液压配件，以保证操作安全性和方便性。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起吊能力</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≥14吨；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★钩心高度</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1570mm；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★后靠轮允许进入宽度</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1067mm；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sz w:val="24"/>
              </w:rPr>
            </w:pPr>
            <w:r>
              <w:rPr>
                <w:rFonts w:hint="eastAsia" w:ascii="宋体" w:hAnsi="宋体" w:cs="宋体"/>
                <w:sz w:val="24"/>
              </w:rPr>
              <w:t>★系统工作压力</w:t>
            </w:r>
          </w:p>
        </w:tc>
        <w:tc>
          <w:tcPr>
            <w:tcW w:w="5387" w:type="dxa"/>
            <w:vAlign w:val="center"/>
          </w:tcPr>
          <w:p>
            <w:pPr>
              <w:widowControl/>
              <w:spacing w:line="400" w:lineRule="atLeast"/>
              <w:rPr>
                <w:rFonts w:ascii="宋体" w:hAnsi="宋体" w:cs="宋体"/>
                <w:sz w:val="24"/>
              </w:rPr>
            </w:pPr>
            <w:r>
              <w:rPr>
                <w:rFonts w:hint="eastAsia" w:ascii="宋体" w:hAnsi="宋体" w:cs="宋体"/>
                <w:sz w:val="24"/>
              </w:rPr>
              <w:t>≥22.5MPa；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97" w:type="dxa"/>
            <w:vAlign w:val="center"/>
          </w:tcPr>
          <w:p>
            <w:pPr>
              <w:widowControl/>
              <w:spacing w:line="400" w:lineRule="atLeast"/>
              <w:rPr>
                <w:rFonts w:ascii="宋体" w:hAnsi="宋体" w:cs="宋体"/>
                <w:color w:val="FF0000"/>
                <w:sz w:val="24"/>
              </w:rPr>
            </w:pPr>
            <w:r>
              <w:rPr>
                <w:rFonts w:hint="eastAsia" w:ascii="宋体" w:hAnsi="宋体" w:cs="宋体"/>
                <w:color w:val="FF0000"/>
                <w:sz w:val="24"/>
              </w:rPr>
              <w:t>轮胎</w:t>
            </w:r>
          </w:p>
        </w:tc>
        <w:tc>
          <w:tcPr>
            <w:tcW w:w="5387" w:type="dxa"/>
            <w:vAlign w:val="center"/>
          </w:tcPr>
          <w:p>
            <w:pPr>
              <w:widowControl/>
              <w:spacing w:line="400" w:lineRule="atLeast"/>
              <w:rPr>
                <w:rFonts w:ascii="宋体" w:hAnsi="宋体" w:cs="宋体"/>
                <w:color w:val="FF0000"/>
                <w:sz w:val="24"/>
              </w:rPr>
            </w:pPr>
            <w:r>
              <w:rPr>
                <w:rFonts w:hint="eastAsia" w:ascii="宋体" w:hAnsi="宋体" w:cs="宋体"/>
                <w:color w:val="FF0000"/>
                <w:sz w:val="24"/>
              </w:rPr>
              <w:t>钢丝轮</w:t>
            </w:r>
          </w:p>
        </w:tc>
      </w:tr>
    </w:tbl>
    <w:p>
      <w:pPr>
        <w:jc w:val="left"/>
        <w:rPr>
          <w:rFonts w:ascii="宋体" w:hAnsi="宋体" w:cs="宋体"/>
          <w:sz w:val="24"/>
          <w:szCs w:val="24"/>
        </w:rPr>
      </w:pPr>
    </w:p>
    <w:p>
      <w:pPr>
        <w:jc w:val="left"/>
        <w:rPr>
          <w:rFonts w:ascii="宋体" w:hAnsi="宋体" w:cs="宋体"/>
          <w:sz w:val="24"/>
          <w:szCs w:val="24"/>
        </w:rPr>
      </w:pPr>
      <w:r>
        <w:rPr>
          <w:rFonts w:hint="eastAsia" w:ascii="宋体" w:hAnsi="宋体" w:cs="宋体"/>
          <w:sz w:val="24"/>
          <w:szCs w:val="24"/>
        </w:rPr>
        <w:t>性能说明：</w:t>
      </w:r>
    </w:p>
    <w:p>
      <w:pPr>
        <w:ind w:firstLine="240" w:firstLineChars="100"/>
        <w:jc w:val="left"/>
        <w:rPr>
          <w:rFonts w:ascii="宋体" w:hAnsi="宋体" w:cs="宋体"/>
          <w:sz w:val="24"/>
          <w:szCs w:val="24"/>
        </w:rPr>
      </w:pPr>
      <w:r>
        <w:rPr>
          <w:rFonts w:hint="eastAsia" w:ascii="宋体" w:hAnsi="宋体" w:cs="宋体"/>
          <w:sz w:val="24"/>
          <w:szCs w:val="24"/>
        </w:rPr>
        <w:t>1、勾臂车在作业过程中具备以下性能：</w:t>
      </w:r>
    </w:p>
    <w:p>
      <w:pPr>
        <w:spacing w:line="400" w:lineRule="atLeast"/>
        <w:ind w:firstLine="480" w:firstLineChars="200"/>
        <w:rPr>
          <w:rFonts w:ascii="宋体" w:hAnsi="宋体" w:cs="宋体"/>
          <w:sz w:val="24"/>
          <w:szCs w:val="24"/>
        </w:rPr>
      </w:pPr>
      <w:r>
        <w:rPr>
          <w:rFonts w:hint="eastAsia" w:ascii="宋体" w:hAnsi="宋体" w:cs="宋体"/>
          <w:sz w:val="24"/>
          <w:szCs w:val="24"/>
        </w:rPr>
        <w:t>1.1、勾箱过程中：</w:t>
      </w:r>
    </w:p>
    <w:p>
      <w:pPr>
        <w:spacing w:line="400" w:lineRule="atLeast"/>
        <w:ind w:firstLine="480" w:firstLineChars="200"/>
        <w:rPr>
          <w:rFonts w:ascii="宋体" w:hAnsi="宋体" w:cs="宋体"/>
          <w:sz w:val="24"/>
          <w:szCs w:val="24"/>
        </w:rPr>
      </w:pPr>
      <w:r>
        <w:rPr>
          <w:rFonts w:hint="eastAsia" w:ascii="宋体" w:hAnsi="宋体" w:cs="宋体"/>
          <w:sz w:val="24"/>
          <w:szCs w:val="24"/>
        </w:rPr>
        <w:t>①、主臂在勾箱过程中，锁箱机构无动作；</w:t>
      </w:r>
    </w:p>
    <w:p>
      <w:pPr>
        <w:spacing w:line="400" w:lineRule="atLeast"/>
        <w:ind w:firstLine="480" w:firstLineChars="200"/>
        <w:rPr>
          <w:rFonts w:ascii="宋体" w:hAnsi="宋体" w:cs="宋体"/>
          <w:sz w:val="24"/>
          <w:szCs w:val="24"/>
        </w:rPr>
      </w:pPr>
      <w:r>
        <w:rPr>
          <w:rFonts w:hint="eastAsia" w:ascii="宋体" w:hAnsi="宋体" w:cs="宋体"/>
          <w:sz w:val="24"/>
          <w:szCs w:val="24"/>
        </w:rPr>
        <w:t>②、主臂收回至原位后，后滚轮支撑机构自动收回；</w:t>
      </w:r>
    </w:p>
    <w:p>
      <w:pPr>
        <w:spacing w:line="400" w:lineRule="atLeast"/>
        <w:ind w:firstLine="480" w:firstLineChars="200"/>
        <w:rPr>
          <w:rFonts w:ascii="宋体" w:hAnsi="宋体" w:cs="宋体"/>
          <w:sz w:val="24"/>
          <w:szCs w:val="24"/>
        </w:rPr>
      </w:pPr>
      <w:r>
        <w:rPr>
          <w:rFonts w:hint="eastAsia" w:ascii="宋体" w:hAnsi="宋体" w:cs="宋体"/>
          <w:sz w:val="24"/>
          <w:szCs w:val="24"/>
        </w:rPr>
        <w:t>③、伸缩臂向前移动至最前端位置，锁箱机构锁紧时，</w:t>
      </w:r>
    </w:p>
    <w:p>
      <w:pPr>
        <w:spacing w:line="400" w:lineRule="atLeast"/>
        <w:ind w:firstLine="480" w:firstLineChars="200"/>
        <w:rPr>
          <w:rFonts w:ascii="宋体" w:hAnsi="宋体" w:cs="宋体"/>
          <w:sz w:val="24"/>
          <w:szCs w:val="24"/>
        </w:rPr>
      </w:pPr>
      <w:r>
        <w:rPr>
          <w:rFonts w:hint="eastAsia" w:ascii="宋体" w:hAnsi="宋体" w:cs="宋体"/>
          <w:sz w:val="24"/>
          <w:szCs w:val="24"/>
        </w:rPr>
        <w:t>锁臂机构自动锁紧主臂及翻转臂。</w:t>
      </w:r>
    </w:p>
    <w:p>
      <w:pPr>
        <w:spacing w:line="400" w:lineRule="atLeast"/>
        <w:ind w:firstLine="480" w:firstLineChars="200"/>
        <w:rPr>
          <w:rFonts w:ascii="宋体" w:hAnsi="宋体" w:cs="宋体"/>
          <w:sz w:val="24"/>
          <w:szCs w:val="24"/>
        </w:rPr>
      </w:pPr>
      <w:r>
        <w:rPr>
          <w:rFonts w:hint="eastAsia" w:ascii="宋体" w:hAnsi="宋体" w:cs="宋体"/>
          <w:sz w:val="24"/>
          <w:szCs w:val="24"/>
        </w:rPr>
        <w:t>1.2、自卸过程中：</w:t>
      </w:r>
    </w:p>
    <w:p>
      <w:pPr>
        <w:spacing w:line="400" w:lineRule="atLeast"/>
        <w:ind w:firstLine="480" w:firstLineChars="200"/>
        <w:rPr>
          <w:rFonts w:ascii="宋体" w:hAnsi="宋体" w:cs="宋体"/>
          <w:sz w:val="24"/>
          <w:szCs w:val="24"/>
        </w:rPr>
      </w:pPr>
      <w:r>
        <w:rPr>
          <w:rFonts w:hint="eastAsia" w:ascii="宋体" w:hAnsi="宋体" w:cs="宋体"/>
          <w:sz w:val="24"/>
          <w:szCs w:val="24"/>
        </w:rPr>
        <w:t>①、锁箱状态下，伸缩机构无动作；</w:t>
      </w:r>
    </w:p>
    <w:p>
      <w:pPr>
        <w:spacing w:line="400" w:lineRule="atLeast"/>
        <w:ind w:firstLine="480" w:firstLineChars="200"/>
        <w:rPr>
          <w:rFonts w:ascii="宋体" w:hAnsi="宋体" w:cs="宋体"/>
          <w:sz w:val="24"/>
          <w:szCs w:val="24"/>
        </w:rPr>
      </w:pPr>
      <w:r>
        <w:rPr>
          <w:rFonts w:hint="eastAsia" w:ascii="宋体" w:hAnsi="宋体" w:cs="宋体"/>
          <w:sz w:val="24"/>
          <w:szCs w:val="24"/>
        </w:rPr>
        <w:t>②、主臂在卸料过程中，锁箱机构无动作。</w:t>
      </w:r>
    </w:p>
    <w:p>
      <w:pPr>
        <w:spacing w:line="400" w:lineRule="atLeast"/>
        <w:ind w:firstLine="480" w:firstLineChars="200"/>
        <w:rPr>
          <w:rFonts w:ascii="宋体" w:hAnsi="宋体" w:cs="宋体"/>
          <w:sz w:val="24"/>
          <w:szCs w:val="24"/>
        </w:rPr>
      </w:pPr>
      <w:r>
        <w:rPr>
          <w:rFonts w:hint="eastAsia" w:ascii="宋体" w:hAnsi="宋体" w:cs="宋体"/>
          <w:sz w:val="24"/>
          <w:szCs w:val="24"/>
        </w:rPr>
        <w:t>1.3、放箱过程中：</w:t>
      </w:r>
    </w:p>
    <w:p>
      <w:pPr>
        <w:spacing w:line="400" w:lineRule="atLeast"/>
        <w:ind w:firstLine="480" w:firstLineChars="200"/>
        <w:rPr>
          <w:rFonts w:ascii="宋体" w:hAnsi="宋体" w:cs="宋体"/>
          <w:sz w:val="24"/>
          <w:szCs w:val="24"/>
        </w:rPr>
      </w:pPr>
      <w:r>
        <w:rPr>
          <w:rFonts w:hint="eastAsia" w:ascii="宋体" w:hAnsi="宋体" w:cs="宋体"/>
          <w:sz w:val="24"/>
          <w:szCs w:val="24"/>
        </w:rPr>
        <w:t>①、主臂在卸箱过程中，锁箱机构无动作；</w:t>
      </w:r>
    </w:p>
    <w:p>
      <w:pPr>
        <w:spacing w:line="400" w:lineRule="atLeast"/>
        <w:ind w:firstLine="480" w:firstLineChars="200"/>
        <w:rPr>
          <w:rFonts w:ascii="宋体" w:hAnsi="宋体" w:cs="宋体"/>
          <w:sz w:val="24"/>
          <w:szCs w:val="24"/>
        </w:rPr>
      </w:pPr>
      <w:r>
        <w:rPr>
          <w:rFonts w:hint="eastAsia" w:ascii="宋体" w:hAnsi="宋体" w:cs="宋体"/>
          <w:sz w:val="24"/>
          <w:szCs w:val="24"/>
        </w:rPr>
        <w:t>②、伸缩臂向后移动，松开锁箱机构，锁臂机构</w:t>
      </w:r>
    </w:p>
    <w:p>
      <w:pPr>
        <w:spacing w:line="400" w:lineRule="atLeast"/>
        <w:ind w:firstLine="480" w:firstLineChars="200"/>
        <w:rPr>
          <w:rFonts w:ascii="宋体" w:hAnsi="宋体" w:cs="宋体"/>
          <w:sz w:val="24"/>
          <w:szCs w:val="24"/>
        </w:rPr>
      </w:pPr>
      <w:r>
        <w:rPr>
          <w:rFonts w:hint="eastAsia" w:ascii="宋体" w:hAnsi="宋体" w:cs="宋体"/>
          <w:sz w:val="24"/>
          <w:szCs w:val="24"/>
        </w:rPr>
        <w:t>自动松开主臂及翻转臂。</w:t>
      </w:r>
    </w:p>
    <w:p>
      <w:pPr>
        <w:spacing w:line="400" w:lineRule="atLeast"/>
        <w:ind w:firstLine="240" w:firstLineChars="100"/>
        <w:rPr>
          <w:rFonts w:ascii="宋体" w:hAnsi="宋体" w:cs="宋体"/>
          <w:sz w:val="24"/>
          <w:szCs w:val="24"/>
        </w:rPr>
      </w:pPr>
      <w:r>
        <w:rPr>
          <w:rFonts w:hint="eastAsia" w:ascii="宋体" w:hAnsi="宋体" w:cs="宋体"/>
          <w:sz w:val="24"/>
          <w:szCs w:val="24"/>
        </w:rPr>
        <w:t>2、主要配置及技术特点：</w:t>
      </w:r>
    </w:p>
    <w:p>
      <w:pPr>
        <w:spacing w:line="400" w:lineRule="atLeast"/>
        <w:ind w:firstLine="480" w:firstLineChars="200"/>
        <w:rPr>
          <w:rFonts w:ascii="宋体" w:hAnsi="宋体" w:cs="宋体"/>
          <w:sz w:val="24"/>
          <w:szCs w:val="24"/>
        </w:rPr>
      </w:pPr>
      <w:r>
        <w:rPr>
          <w:rFonts w:hint="eastAsia" w:ascii="宋体" w:hAnsi="宋体" w:cs="宋体"/>
          <w:sz w:val="24"/>
          <w:szCs w:val="24"/>
        </w:rPr>
        <w:t>2.1、标配欧洲知名品牌四位气孔先导阀，运行稳定可靠，便于维护；</w:t>
      </w:r>
    </w:p>
    <w:p>
      <w:pPr>
        <w:spacing w:line="400" w:lineRule="atLeast"/>
        <w:ind w:firstLine="480" w:firstLineChars="200"/>
        <w:rPr>
          <w:rFonts w:ascii="宋体" w:hAnsi="宋体" w:cs="宋体"/>
          <w:sz w:val="24"/>
          <w:szCs w:val="24"/>
        </w:rPr>
      </w:pPr>
      <w:r>
        <w:rPr>
          <w:rFonts w:hint="eastAsia" w:ascii="宋体" w:hAnsi="宋体" w:cs="宋体"/>
          <w:sz w:val="24"/>
          <w:szCs w:val="24"/>
        </w:rPr>
        <w:t>2.2、标配欧洲知名品牌PARKER或LEDUC高压柱塞泵，具有稳定的工作性能，输出压力稳定；</w:t>
      </w:r>
    </w:p>
    <w:p>
      <w:pPr>
        <w:spacing w:line="400" w:lineRule="atLeast"/>
        <w:ind w:firstLine="480" w:firstLineChars="200"/>
        <w:rPr>
          <w:rFonts w:ascii="宋体" w:hAnsi="宋体" w:cs="宋体"/>
          <w:sz w:val="24"/>
          <w:szCs w:val="24"/>
        </w:rPr>
      </w:pPr>
      <w:r>
        <w:rPr>
          <w:rFonts w:hint="eastAsia" w:ascii="宋体" w:hAnsi="宋体" w:cs="宋体"/>
          <w:sz w:val="24"/>
          <w:szCs w:val="24"/>
        </w:rPr>
        <w:t>2.3、标配100L 加大油箱，油箱为欧洲设计制造，配有回油过滤器、空气过滤器、液位及油温一体化显示表、截止阀（便于维护或更换液压元件使用）；</w:t>
      </w:r>
    </w:p>
    <w:p>
      <w:pPr>
        <w:spacing w:line="400" w:lineRule="atLeast"/>
        <w:ind w:firstLine="480" w:firstLineChars="200"/>
        <w:rPr>
          <w:rFonts w:ascii="宋体" w:hAnsi="宋体" w:cs="宋体"/>
          <w:sz w:val="24"/>
          <w:szCs w:val="24"/>
        </w:rPr>
      </w:pPr>
      <w:r>
        <w:rPr>
          <w:rFonts w:hint="eastAsia" w:ascii="宋体" w:hAnsi="宋体" w:cs="宋体"/>
          <w:sz w:val="24"/>
          <w:szCs w:val="24"/>
        </w:rPr>
        <w:t>2.4、液压系统所配的液压软管承受的压力≥450BAR；</w:t>
      </w:r>
    </w:p>
    <w:p>
      <w:pPr>
        <w:spacing w:line="400" w:lineRule="atLeast"/>
        <w:ind w:firstLine="480" w:firstLineChars="200"/>
        <w:rPr>
          <w:rFonts w:ascii="宋体" w:hAnsi="宋体" w:cs="宋体"/>
          <w:sz w:val="24"/>
          <w:szCs w:val="24"/>
        </w:rPr>
      </w:pPr>
      <w:r>
        <w:rPr>
          <w:rFonts w:hint="eastAsia" w:ascii="宋体" w:hAnsi="宋体" w:cs="宋体"/>
          <w:sz w:val="24"/>
          <w:szCs w:val="24"/>
        </w:rPr>
        <w:t>2.5、整车装有尾部滚轮支撑机构，避免在勾箱及卸料过程中，整车重心靠后引起的车辆翘头隐患；</w:t>
      </w:r>
    </w:p>
    <w:p>
      <w:pPr>
        <w:spacing w:line="400" w:lineRule="atLeast"/>
        <w:ind w:firstLine="480" w:firstLineChars="200"/>
        <w:rPr>
          <w:rFonts w:ascii="宋体" w:hAnsi="宋体" w:cs="宋体"/>
          <w:sz w:val="24"/>
          <w:szCs w:val="24"/>
        </w:rPr>
      </w:pPr>
      <w:r>
        <w:rPr>
          <w:rFonts w:hint="eastAsia" w:ascii="宋体" w:hAnsi="宋体" w:cs="宋体"/>
          <w:sz w:val="24"/>
          <w:szCs w:val="24"/>
        </w:rPr>
        <w:t>2.6、勾臂架与箱体接触频繁的零部件均采用铸造件（铸造件有着良好的力学性能以及优异的摩擦和润滑性能并外形美观）；</w:t>
      </w:r>
    </w:p>
    <w:p>
      <w:pPr>
        <w:spacing w:line="400" w:lineRule="atLeast"/>
        <w:ind w:firstLine="480" w:firstLineChars="200"/>
        <w:rPr>
          <w:rFonts w:ascii="宋体" w:hAnsi="宋体" w:cs="宋体"/>
          <w:sz w:val="24"/>
          <w:szCs w:val="24"/>
        </w:rPr>
      </w:pPr>
      <w:r>
        <w:rPr>
          <w:rFonts w:hint="eastAsia" w:ascii="宋体" w:hAnsi="宋体" w:cs="宋体"/>
          <w:sz w:val="24"/>
          <w:szCs w:val="24"/>
        </w:rPr>
        <w:t>2.7、所有操作均在驾驶室内完成，操作简单便捷。操作系统为气孔方式并带有阻尼装置，确保控制动作安全可靠；</w:t>
      </w:r>
    </w:p>
    <w:p>
      <w:pPr>
        <w:spacing w:line="400" w:lineRule="atLeast"/>
        <w:ind w:firstLine="480" w:firstLineChars="200"/>
        <w:rPr>
          <w:rFonts w:ascii="宋体" w:hAnsi="宋体" w:cs="宋体"/>
          <w:sz w:val="24"/>
          <w:szCs w:val="24"/>
        </w:rPr>
      </w:pPr>
      <w:r>
        <w:rPr>
          <w:rFonts w:hint="eastAsia" w:ascii="宋体" w:hAnsi="宋体" w:cs="宋体"/>
          <w:sz w:val="24"/>
          <w:szCs w:val="24"/>
        </w:rPr>
        <w:t>2.8、勾臂架各油缸均为进口油缸，满载箱体在举升至10°至20°范围，停留60分钟后油缸回缩量不大于1mm。</w:t>
      </w:r>
    </w:p>
    <w:p>
      <w:pPr>
        <w:spacing w:line="400" w:lineRule="atLeast"/>
        <w:rPr>
          <w:rFonts w:ascii="宋体" w:hAnsi="宋体" w:cs="宋体"/>
          <w:sz w:val="24"/>
          <w:szCs w:val="24"/>
        </w:rPr>
      </w:pPr>
      <w:r>
        <w:rPr>
          <w:rFonts w:hint="eastAsia" w:ascii="宋体" w:hAnsi="宋体" w:cs="宋体"/>
          <w:sz w:val="24"/>
          <w:szCs w:val="24"/>
        </w:rPr>
        <w:t>★3、安全性能：</w:t>
      </w:r>
    </w:p>
    <w:p>
      <w:pPr>
        <w:spacing w:line="400" w:lineRule="atLeast"/>
        <w:ind w:firstLine="480" w:firstLineChars="200"/>
        <w:rPr>
          <w:rFonts w:ascii="宋体" w:hAnsi="宋体" w:cs="宋体"/>
          <w:sz w:val="24"/>
          <w:szCs w:val="24"/>
        </w:rPr>
      </w:pPr>
      <w:r>
        <w:rPr>
          <w:rFonts w:hint="eastAsia" w:ascii="宋体" w:hAnsi="宋体" w:cs="宋体"/>
          <w:sz w:val="24"/>
          <w:szCs w:val="24"/>
        </w:rPr>
        <w:t>系统总压力及各个单元阀块均设置了过载保护；</w:t>
      </w:r>
    </w:p>
    <w:p>
      <w:pPr>
        <w:spacing w:line="400" w:lineRule="atLeast"/>
        <w:ind w:firstLine="480" w:firstLineChars="200"/>
        <w:rPr>
          <w:rFonts w:ascii="宋体" w:hAnsi="宋体" w:cs="宋体"/>
          <w:sz w:val="24"/>
          <w:szCs w:val="24"/>
        </w:rPr>
      </w:pPr>
      <w:r>
        <w:rPr>
          <w:rFonts w:hint="eastAsia" w:ascii="宋体" w:hAnsi="宋体" w:cs="宋体"/>
          <w:sz w:val="24"/>
          <w:szCs w:val="24"/>
        </w:rPr>
        <w:t>举升油缸、伸缩油缸、箱体锁紧油缸及后滚轮稳定装置油缸均配有负载保持阀；</w:t>
      </w:r>
    </w:p>
    <w:p>
      <w:pPr>
        <w:spacing w:line="400" w:lineRule="atLeast"/>
        <w:ind w:firstLine="480" w:firstLineChars="200"/>
        <w:rPr>
          <w:rFonts w:ascii="宋体" w:hAnsi="宋体" w:cs="宋体"/>
          <w:sz w:val="24"/>
          <w:szCs w:val="24"/>
        </w:rPr>
      </w:pPr>
      <w:r>
        <w:rPr>
          <w:rFonts w:hint="eastAsia" w:ascii="宋体" w:hAnsi="宋体" w:cs="宋体"/>
          <w:sz w:val="24"/>
          <w:szCs w:val="24"/>
        </w:rPr>
        <w:t>勾臂滑动、箱体自卸、装卸箱体以及箱体锁紧等机构动作之间设置了动作互锁；</w:t>
      </w:r>
    </w:p>
    <w:p>
      <w:pPr>
        <w:spacing w:line="400" w:lineRule="atLeast"/>
        <w:ind w:firstLine="480" w:firstLineChars="200"/>
        <w:rPr>
          <w:rFonts w:ascii="宋体" w:hAnsi="宋体" w:cs="宋体"/>
          <w:sz w:val="24"/>
          <w:szCs w:val="24"/>
        </w:rPr>
      </w:pPr>
      <w:r>
        <w:rPr>
          <w:rFonts w:hint="eastAsia" w:ascii="宋体" w:hAnsi="宋体" w:cs="宋体"/>
          <w:sz w:val="24"/>
          <w:szCs w:val="24"/>
        </w:rPr>
        <w:t>吊钩：高强度设计，整体铸造成形。与箱体吊环接触面曲线拟合实际运动轨迹，勾箱及卸箱动作稳定可靠，吊钩配有机械重力安全装置，确保勾放箱过程中不脱勾；</w:t>
      </w:r>
    </w:p>
    <w:p>
      <w:pPr>
        <w:spacing w:line="400" w:lineRule="atLeast"/>
        <w:ind w:firstLine="480" w:firstLineChars="200"/>
        <w:rPr>
          <w:rFonts w:ascii="宋体" w:hAnsi="宋体" w:cs="宋体"/>
          <w:sz w:val="24"/>
          <w:szCs w:val="24"/>
        </w:rPr>
      </w:pPr>
      <w:r>
        <w:rPr>
          <w:rFonts w:hint="eastAsia" w:ascii="宋体" w:hAnsi="宋体" w:cs="宋体"/>
          <w:sz w:val="24"/>
          <w:szCs w:val="24"/>
        </w:rPr>
        <w:t>勾臂架翻转臂上设置有半月锁，保证勾箱、放箱及自卸过程中，勾臂与翻转臂之间能可靠分离及锁紧；</w:t>
      </w:r>
    </w:p>
    <w:p>
      <w:pPr>
        <w:spacing w:line="400" w:lineRule="exact"/>
        <w:jc w:val="center"/>
        <w:rPr>
          <w:rFonts w:ascii="宋体" w:hAnsi="宋体" w:cs="宋体"/>
          <w:sz w:val="24"/>
          <w:szCs w:val="24"/>
        </w:rPr>
      </w:pPr>
      <w:r>
        <w:rPr>
          <w:rFonts w:hint="eastAsia" w:ascii="宋体" w:hAnsi="宋体" w:cs="宋体"/>
          <w:sz w:val="24"/>
          <w:szCs w:val="24"/>
        </w:rPr>
        <w:t>驾驶室内配备有箱体未锁紧抱紧提示，以提醒工作人员在行车前锁紧箱体，当箱体锁紧后，</w:t>
      </w:r>
    </w:p>
    <w:p>
      <w:pPr>
        <w:spacing w:line="400" w:lineRule="exact"/>
        <w:rPr>
          <w:rFonts w:ascii="宋体" w:hAnsi="宋体"/>
          <w:sz w:val="28"/>
          <w:szCs w:val="28"/>
        </w:rPr>
      </w:pPr>
      <w:r>
        <w:rPr>
          <w:rFonts w:hint="eastAsia" w:ascii="宋体" w:hAnsi="宋体" w:cs="宋体"/>
          <w:sz w:val="24"/>
          <w:szCs w:val="24"/>
        </w:rPr>
        <w:t>声光报警自动解除。</w:t>
      </w:r>
    </w:p>
    <w:bookmarkEnd w:id="1"/>
    <w:bookmarkEnd w:id="2"/>
    <w:p>
      <w:pPr>
        <w:spacing w:line="440" w:lineRule="exact"/>
        <w:rPr>
          <w:rFonts w:ascii="宋体" w:hAnsi="宋体" w:cs="宋体"/>
          <w:b/>
          <w:sz w:val="24"/>
          <w:szCs w:val="24"/>
        </w:rPr>
      </w:pPr>
      <w:r>
        <w:rPr>
          <w:rFonts w:hint="eastAsia" w:ascii="宋体" w:hAnsi="宋体" w:cs="宋体"/>
          <w:b/>
          <w:sz w:val="24"/>
          <w:szCs w:val="24"/>
          <w:highlight w:val="yellow"/>
        </w:rPr>
        <w:t>4.所投报价含车辆保险（交强险、三者）、挂牌、购置税等。</w:t>
      </w: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520B9"/>
    <w:rsid w:val="03F5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jc w:val="left"/>
      <w:outlineLvl w:val="0"/>
    </w:pPr>
    <w:rPr>
      <w:rFonts w:hint="eastAsia" w:ascii="宋体" w:hAnsi="宋体"/>
      <w:b/>
      <w:kern w:val="44"/>
      <w:sz w:val="42"/>
      <w:szCs w:val="4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Emphasis"/>
    <w:qFormat/>
    <w:uiPriority w:val="20"/>
    <w:rPr>
      <w:i/>
      <w:iCs/>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2018-08-21T04:05:00Z</dcterms:created>
  <dc:creator>Administrator</dc:creator>
  <cp:lastModifiedBy>Administrator</cp:lastModifiedBy>
  <dcterms:modified xsi:type="dcterms:W3CDTF">2018-08-21T04:07:47Z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